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2F" w:rsidRPr="00012CD9" w:rsidRDefault="006E3A7B" w:rsidP="002C3768">
      <w:pPr>
        <w:pStyle w:val="Heading1"/>
        <w:spacing w:line="360" w:lineRule="auto"/>
        <w:rPr>
          <w:sz w:val="44"/>
        </w:rPr>
      </w:pPr>
      <w:r w:rsidRPr="00012CD9">
        <w:rPr>
          <w:rFonts w:ascii="Microsoft YaHei" w:eastAsia="Microsoft YaHei" w:hAnsi="Microsoft YaHei" w:cs="Microsoft YaHei"/>
          <w:color w:val="000000"/>
          <w:sz w:val="44"/>
        </w:rPr>
        <w:t>离职补偿金的六个税务问题</w:t>
      </w:r>
    </w:p>
    <w:p w:rsidR="0066392F" w:rsidRPr="00012CD9" w:rsidRDefault="006E3A7B" w:rsidP="00012CD9">
      <w:pPr>
        <w:pStyle w:val="a4"/>
        <w:numPr>
          <w:ilvl w:val="0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问题一</w:t>
      </w:r>
    </w:p>
    <w:p w:rsidR="0066392F" w:rsidRPr="00012CD9" w:rsidRDefault="006E3A7B" w:rsidP="00012CD9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问</w:t>
      </w:r>
      <w:r w:rsid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：</w:t>
      </w:r>
      <w:r w:rsidRPr="00012CD9">
        <w:rPr>
          <w:rFonts w:ascii="Microsoft YaHei" w:eastAsia="Microsoft YaHei" w:hAnsi="Microsoft YaHei" w:cs="Microsoft YaHei"/>
          <w:sz w:val="24"/>
        </w:rPr>
        <w:t>我在单位工作十几年了，我若是从单位主动辞职，是否有离职补偿金？</w:t>
      </w:r>
    </w:p>
    <w:p w:rsidR="0066392F" w:rsidRPr="00012CD9" w:rsidRDefault="006E3A7B" w:rsidP="00012CD9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答</w:t>
      </w:r>
      <w:r w:rsid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：</w:t>
      </w:r>
      <w:r w:rsidRPr="00012CD9">
        <w:rPr>
          <w:rFonts w:ascii="Microsoft YaHei" w:eastAsia="Microsoft YaHei" w:hAnsi="Microsoft YaHei" w:cs="Microsoft YaHei"/>
          <w:sz w:val="24"/>
        </w:rPr>
        <w:t>从单位主动辞职，一般来讲是没有经济补偿金的，当然特殊情形也会存在补偿。</w:t>
      </w:r>
    </w:p>
    <w:p w:rsidR="0066392F" w:rsidRPr="00012CD9" w:rsidRDefault="006E3A7B" w:rsidP="00012CD9">
      <w:pPr>
        <w:pStyle w:val="a4"/>
        <w:numPr>
          <w:ilvl w:val="3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用人单位以不正当手段调离员工的岗位，虽然不是开除员工，但用人单位侵害员工利益，使员工</w:t>
      </w:r>
      <w:r w:rsidRPr="00012CD9">
        <w:rPr>
          <w:rFonts w:ascii="Microsoft YaHei" w:eastAsia="Microsoft YaHei" w:hAnsi="Microsoft YaHei" w:cs="Microsoft YaHei"/>
          <w:sz w:val="24"/>
        </w:rPr>
        <w:t>“</w:t>
      </w:r>
      <w:r w:rsidRPr="00012CD9">
        <w:rPr>
          <w:rFonts w:ascii="Microsoft YaHei" w:eastAsia="Microsoft YaHei" w:hAnsi="Microsoft YaHei" w:cs="Microsoft YaHei"/>
          <w:sz w:val="24"/>
        </w:rPr>
        <w:t>自行离职</w:t>
      </w:r>
      <w:r w:rsidRPr="00012CD9">
        <w:rPr>
          <w:rFonts w:ascii="Microsoft YaHei" w:eastAsia="Microsoft YaHei" w:hAnsi="Microsoft YaHei" w:cs="Microsoft YaHei"/>
          <w:sz w:val="24"/>
        </w:rPr>
        <w:t>”</w:t>
      </w:r>
      <w:r w:rsidRPr="00012CD9">
        <w:rPr>
          <w:rFonts w:ascii="Microsoft YaHei" w:eastAsia="Microsoft YaHei" w:hAnsi="Microsoft YaHei" w:cs="Microsoft YaHei"/>
          <w:sz w:val="24"/>
        </w:rPr>
        <w:t>的手段，也是非法的，员工有权利要求用人单位予以补偿。</w:t>
      </w:r>
    </w:p>
    <w:p w:rsidR="0066392F" w:rsidRPr="00012CD9" w:rsidRDefault="006E3A7B" w:rsidP="00012CD9">
      <w:pPr>
        <w:pStyle w:val="a4"/>
        <w:numPr>
          <w:ilvl w:val="3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未足额或者未及时支付劳动工资的、或者无理由克扣工资的、或者未依法为劳动者缴纳社会保险费的，劳动者可以此为由离职并获得经济补偿金。</w:t>
      </w:r>
    </w:p>
    <w:p w:rsidR="0066392F" w:rsidRPr="00012CD9" w:rsidRDefault="006E3A7B" w:rsidP="00012CD9">
      <w:pPr>
        <w:pStyle w:val="a4"/>
        <w:numPr>
          <w:ilvl w:val="0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问题二</w:t>
      </w:r>
    </w:p>
    <w:p w:rsidR="0066392F" w:rsidRPr="00012CD9" w:rsidRDefault="006E3A7B" w:rsidP="00012CD9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问</w:t>
      </w:r>
      <w:r w:rsid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：</w:t>
      </w:r>
      <w:r w:rsidRPr="00012CD9">
        <w:rPr>
          <w:rFonts w:ascii="Microsoft YaHei" w:eastAsia="Microsoft YaHei" w:hAnsi="Microsoft YaHei" w:cs="Microsoft YaHei"/>
          <w:sz w:val="24"/>
        </w:rPr>
        <w:t>公司支付职工的离职补偿金，如何做账？</w:t>
      </w:r>
    </w:p>
    <w:p w:rsidR="0066392F" w:rsidRPr="00012CD9" w:rsidRDefault="006E3A7B" w:rsidP="00012CD9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答</w:t>
      </w:r>
      <w:r w:rsid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：</w:t>
      </w:r>
      <w:r w:rsidRPr="00012CD9">
        <w:rPr>
          <w:rFonts w:ascii="Microsoft YaHei" w:eastAsia="Microsoft YaHei" w:hAnsi="Microsoft YaHei" w:cs="Microsoft YaHei"/>
          <w:sz w:val="24"/>
        </w:rPr>
        <w:t>分录</w:t>
      </w:r>
    </w:p>
    <w:p w:rsidR="0066392F" w:rsidRPr="00012CD9" w:rsidRDefault="006E3A7B" w:rsidP="00012CD9">
      <w:pPr>
        <w:pStyle w:val="a4"/>
        <w:numPr>
          <w:ilvl w:val="3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借：应付职工薪酬</w:t>
      </w:r>
      <w:r w:rsidRPr="00012CD9">
        <w:rPr>
          <w:rFonts w:ascii="Microsoft YaHei" w:eastAsia="Microsoft YaHei" w:hAnsi="Microsoft YaHei" w:cs="Microsoft YaHei"/>
          <w:sz w:val="24"/>
        </w:rPr>
        <w:t>-</w:t>
      </w:r>
      <w:r w:rsidRPr="00012CD9">
        <w:rPr>
          <w:rFonts w:ascii="Microsoft YaHei" w:eastAsia="Microsoft YaHei" w:hAnsi="Microsoft YaHei" w:cs="Microsoft YaHei"/>
          <w:sz w:val="24"/>
        </w:rPr>
        <w:t>辞退福利</w:t>
      </w:r>
      <w:r w:rsidRPr="00012CD9">
        <w:rPr>
          <w:rFonts w:ascii="Microsoft YaHei" w:eastAsia="Microsoft YaHei" w:hAnsi="Microsoft YaHei" w:cs="Microsoft YaHei"/>
          <w:sz w:val="24"/>
        </w:rPr>
        <w:t xml:space="preserve"> 10</w:t>
      </w:r>
      <w:r w:rsidRPr="00012CD9">
        <w:rPr>
          <w:rFonts w:ascii="Microsoft YaHei" w:eastAsia="Microsoft YaHei" w:hAnsi="Microsoft YaHei" w:cs="Microsoft YaHei"/>
          <w:sz w:val="24"/>
        </w:rPr>
        <w:t>万</w:t>
      </w:r>
    </w:p>
    <w:p w:rsidR="0066392F" w:rsidRPr="00012CD9" w:rsidRDefault="006E3A7B" w:rsidP="00012CD9">
      <w:pPr>
        <w:pStyle w:val="a4"/>
        <w:numPr>
          <w:ilvl w:val="3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贷：银行存款</w:t>
      </w:r>
      <w:r w:rsidRPr="00012CD9">
        <w:rPr>
          <w:rFonts w:ascii="Microsoft YaHei" w:eastAsia="Microsoft YaHei" w:hAnsi="Microsoft YaHei" w:cs="Microsoft YaHei"/>
          <w:sz w:val="24"/>
        </w:rPr>
        <w:t xml:space="preserve"> 10</w:t>
      </w:r>
      <w:r w:rsidRPr="00012CD9">
        <w:rPr>
          <w:rFonts w:ascii="Microsoft YaHei" w:eastAsia="Microsoft YaHei" w:hAnsi="Microsoft YaHei" w:cs="Microsoft YaHei"/>
          <w:sz w:val="24"/>
        </w:rPr>
        <w:t>万</w:t>
      </w:r>
    </w:p>
    <w:p w:rsidR="0066392F" w:rsidRPr="00012CD9" w:rsidRDefault="006E3A7B" w:rsidP="00012CD9">
      <w:pPr>
        <w:pStyle w:val="a4"/>
        <w:numPr>
          <w:ilvl w:val="2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员工辞退福利属于职工薪酬核算范围，但不属于企业所得税法中规定的工资薪金范畴。</w:t>
      </w:r>
    </w:p>
    <w:p w:rsidR="0066392F" w:rsidRPr="00012CD9" w:rsidRDefault="006E3A7B" w:rsidP="00012CD9">
      <w:pPr>
        <w:pStyle w:val="a4"/>
        <w:numPr>
          <w:ilvl w:val="2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离职员工已经不是企业</w:t>
      </w:r>
      <w:r w:rsidRPr="00012CD9">
        <w:rPr>
          <w:rFonts w:ascii="Microsoft YaHei" w:eastAsia="Microsoft YaHei" w:hAnsi="Microsoft YaHei" w:cs="Microsoft YaHei"/>
          <w:sz w:val="24"/>
        </w:rPr>
        <w:t>“</w:t>
      </w:r>
      <w:r w:rsidRPr="00012CD9">
        <w:rPr>
          <w:rFonts w:ascii="Microsoft YaHei" w:eastAsia="Microsoft YaHei" w:hAnsi="Microsoft YaHei" w:cs="Microsoft YaHei"/>
          <w:sz w:val="24"/>
        </w:rPr>
        <w:t>任职或者受雇</w:t>
      </w:r>
      <w:r w:rsidRPr="00012CD9">
        <w:rPr>
          <w:rFonts w:ascii="Microsoft YaHei" w:eastAsia="Microsoft YaHei" w:hAnsi="Microsoft YaHei" w:cs="Microsoft YaHei"/>
          <w:sz w:val="24"/>
        </w:rPr>
        <w:t>”</w:t>
      </w:r>
      <w:r w:rsidRPr="00012CD9">
        <w:rPr>
          <w:rFonts w:ascii="Microsoft YaHei" w:eastAsia="Microsoft YaHei" w:hAnsi="Microsoft YaHei" w:cs="Microsoft YaHei"/>
          <w:sz w:val="24"/>
        </w:rPr>
        <w:t>人员，因此离职补偿金不属于工资薪金的范围。</w:t>
      </w:r>
    </w:p>
    <w:p w:rsidR="0066392F" w:rsidRPr="00012CD9" w:rsidRDefault="006E3A7B" w:rsidP="00012CD9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政策依据</w:t>
      </w:r>
    </w:p>
    <w:p w:rsidR="0066392F" w:rsidRPr="00012CD9" w:rsidRDefault="0066392F" w:rsidP="00012CD9">
      <w:pPr>
        <w:pStyle w:val="a4"/>
        <w:numPr>
          <w:ilvl w:val="2"/>
          <w:numId w:val="2"/>
        </w:numPr>
        <w:spacing w:line="360" w:lineRule="auto"/>
        <w:rPr>
          <w:sz w:val="24"/>
        </w:rPr>
      </w:pPr>
      <w:hyperlink r:id="rId7" w:history="1">
        <w:r w:rsidR="006E3A7B" w:rsidRPr="00012CD9">
          <w:rPr>
            <w:rStyle w:val="a5"/>
            <w:sz w:val="24"/>
          </w:rPr>
          <w:t>《企业所得税实施条例》</w:t>
        </w:r>
      </w:hyperlink>
    </w:p>
    <w:p w:rsidR="0066392F" w:rsidRPr="00012CD9" w:rsidRDefault="006E3A7B" w:rsidP="00012CD9">
      <w:pPr>
        <w:pStyle w:val="a4"/>
        <w:numPr>
          <w:ilvl w:val="2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第三十四条，企业发生的合理的工资薪金支出，准予扣除。前款所称工资薪金，是指企业每一纳税年度支付给在</w:t>
      </w:r>
      <w:r w:rsidRPr="00012CD9">
        <w:rPr>
          <w:rFonts w:ascii="Microsoft YaHei" w:eastAsia="Microsoft YaHei" w:hAnsi="Microsoft YaHei" w:cs="Microsoft YaHei"/>
          <w:b/>
          <w:bCs/>
          <w:sz w:val="24"/>
        </w:rPr>
        <w:t>本</w:t>
      </w:r>
      <w:r w:rsidRPr="00012CD9">
        <w:rPr>
          <w:rFonts w:ascii="Microsoft YaHei" w:eastAsia="Microsoft YaHei" w:hAnsi="Microsoft YaHei" w:cs="Microsoft YaHei"/>
          <w:b/>
          <w:bCs/>
          <w:sz w:val="24"/>
        </w:rPr>
        <w:t>企业任职或者受雇的员工</w:t>
      </w:r>
      <w:r w:rsidRPr="00012CD9">
        <w:rPr>
          <w:rFonts w:ascii="Microsoft YaHei" w:eastAsia="Microsoft YaHei" w:hAnsi="Microsoft YaHei" w:cs="Microsoft YaHei"/>
          <w:sz w:val="24"/>
        </w:rPr>
        <w:t>的所有现金形式或者非现金形式的劳动报酬，包括基本工资、奖金、津贴、补贴、年终加薪、加班工资，以及与员工任职或者受雇有关的其他支出。</w:t>
      </w:r>
    </w:p>
    <w:p w:rsidR="0066392F" w:rsidRPr="00012CD9" w:rsidRDefault="006E3A7B" w:rsidP="00012CD9">
      <w:pPr>
        <w:pStyle w:val="a4"/>
        <w:numPr>
          <w:ilvl w:val="0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问题三</w:t>
      </w:r>
    </w:p>
    <w:p w:rsidR="0066392F" w:rsidRPr="00012CD9" w:rsidRDefault="006E3A7B" w:rsidP="00012CD9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问</w:t>
      </w:r>
      <w:r w:rsid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：</w:t>
      </w:r>
      <w:r w:rsidRPr="00012CD9">
        <w:rPr>
          <w:rFonts w:ascii="Microsoft YaHei" w:eastAsia="Microsoft YaHei" w:hAnsi="Microsoft YaHei" w:cs="Microsoft YaHei"/>
          <w:sz w:val="24"/>
        </w:rPr>
        <w:t>公司支付职工的离职补偿金，是否属于福利费的范围？</w:t>
      </w:r>
    </w:p>
    <w:p w:rsidR="0066392F" w:rsidRPr="00012CD9" w:rsidRDefault="006E3A7B" w:rsidP="00012CD9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答</w:t>
      </w:r>
      <w:r w:rsid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：</w:t>
      </w:r>
      <w:r w:rsidRPr="00012CD9">
        <w:rPr>
          <w:rFonts w:ascii="Microsoft YaHei" w:eastAsia="Microsoft YaHei" w:hAnsi="Microsoft YaHei" w:cs="Microsoft YaHei"/>
          <w:sz w:val="24"/>
        </w:rPr>
        <w:t>辞退福利并不属于职工福利费范围。因此，职工辞退福利不应作为职工福利费支出按不超过工资薪金总额</w:t>
      </w:r>
      <w:r w:rsidRPr="00012CD9">
        <w:rPr>
          <w:rFonts w:ascii="Microsoft YaHei" w:eastAsia="Microsoft YaHei" w:hAnsi="Microsoft YaHei" w:cs="Microsoft YaHei"/>
          <w:sz w:val="24"/>
        </w:rPr>
        <w:t>14%</w:t>
      </w:r>
      <w:r w:rsidRPr="00012CD9">
        <w:rPr>
          <w:rFonts w:ascii="Microsoft YaHei" w:eastAsia="Microsoft YaHei" w:hAnsi="Microsoft YaHei" w:cs="Microsoft YaHei"/>
          <w:sz w:val="24"/>
        </w:rPr>
        <w:t>的部分在税前扣除。</w:t>
      </w:r>
    </w:p>
    <w:p w:rsidR="0066392F" w:rsidRPr="00012CD9" w:rsidRDefault="006E3A7B" w:rsidP="00012CD9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政策依据</w:t>
      </w:r>
    </w:p>
    <w:p w:rsidR="0066392F" w:rsidRPr="00012CD9" w:rsidRDefault="0066392F" w:rsidP="00012CD9">
      <w:pPr>
        <w:pStyle w:val="a4"/>
        <w:numPr>
          <w:ilvl w:val="2"/>
          <w:numId w:val="2"/>
        </w:numPr>
        <w:spacing w:line="360" w:lineRule="auto"/>
        <w:rPr>
          <w:sz w:val="24"/>
        </w:rPr>
      </w:pPr>
      <w:hyperlink r:id="rId8" w:history="1">
        <w:r w:rsidR="006E3A7B" w:rsidRPr="00012CD9">
          <w:rPr>
            <w:rStyle w:val="a5"/>
            <w:sz w:val="24"/>
          </w:rPr>
          <w:t>《国家税务总局关于企业工资薪金及职工福利费扣除问题</w:t>
        </w:r>
        <w:r w:rsidR="006E3A7B" w:rsidRPr="00012CD9">
          <w:rPr>
            <w:rStyle w:val="a5"/>
            <w:sz w:val="24"/>
          </w:rPr>
          <w:t>的通知》</w:t>
        </w:r>
      </w:hyperlink>
      <w:r w:rsidR="006E3A7B" w:rsidRPr="00012CD9">
        <w:rPr>
          <w:rFonts w:ascii="Microsoft YaHei" w:eastAsia="Microsoft YaHei" w:hAnsi="Microsoft YaHei" w:cs="Microsoft YaHei"/>
          <w:sz w:val="24"/>
        </w:rPr>
        <w:t>（国税函〔</w:t>
      </w:r>
      <w:r w:rsidR="006E3A7B" w:rsidRPr="00012CD9">
        <w:rPr>
          <w:rFonts w:ascii="Microsoft YaHei" w:eastAsia="Microsoft YaHei" w:hAnsi="Microsoft YaHei" w:cs="Microsoft YaHei"/>
          <w:sz w:val="24"/>
        </w:rPr>
        <w:t>2009</w:t>
      </w:r>
      <w:r w:rsidR="006E3A7B" w:rsidRPr="00012CD9">
        <w:rPr>
          <w:rFonts w:ascii="Microsoft YaHei" w:eastAsia="Microsoft YaHei" w:hAnsi="Microsoft YaHei" w:cs="Microsoft YaHei"/>
          <w:sz w:val="24"/>
        </w:rPr>
        <w:t>〕</w:t>
      </w:r>
      <w:r w:rsidR="006E3A7B" w:rsidRPr="00012CD9">
        <w:rPr>
          <w:rFonts w:ascii="Microsoft YaHei" w:eastAsia="Microsoft YaHei" w:hAnsi="Microsoft YaHei" w:cs="Microsoft YaHei"/>
          <w:sz w:val="24"/>
        </w:rPr>
        <w:t>3</w:t>
      </w:r>
      <w:r w:rsidR="006E3A7B" w:rsidRPr="00012CD9">
        <w:rPr>
          <w:rFonts w:ascii="Microsoft YaHei" w:eastAsia="Microsoft YaHei" w:hAnsi="Microsoft YaHei" w:cs="Microsoft YaHei"/>
          <w:sz w:val="24"/>
        </w:rPr>
        <w:t>号）</w:t>
      </w:r>
    </w:p>
    <w:p w:rsidR="0066392F" w:rsidRPr="00012CD9" w:rsidRDefault="006E3A7B" w:rsidP="00012CD9">
      <w:pPr>
        <w:pStyle w:val="a4"/>
        <w:numPr>
          <w:ilvl w:val="0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问题四</w:t>
      </w:r>
    </w:p>
    <w:p w:rsidR="0066392F" w:rsidRPr="00012CD9" w:rsidRDefault="006E3A7B" w:rsidP="00012CD9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问</w:t>
      </w:r>
      <w:r w:rsid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：</w:t>
      </w:r>
      <w:r w:rsidRPr="00012CD9">
        <w:rPr>
          <w:rFonts w:ascii="Microsoft YaHei" w:eastAsia="Microsoft YaHei" w:hAnsi="Microsoft YaHei" w:cs="Microsoft YaHei"/>
          <w:sz w:val="24"/>
        </w:rPr>
        <w:t>公司支付职工的离职补偿金，企业所得税前是否允许扣除？</w:t>
      </w:r>
    </w:p>
    <w:p w:rsidR="0066392F" w:rsidRPr="00012CD9" w:rsidRDefault="006E3A7B" w:rsidP="00012CD9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答</w:t>
      </w:r>
      <w:r w:rsid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：</w:t>
      </w:r>
      <w:r w:rsidRPr="00012CD9">
        <w:rPr>
          <w:rFonts w:ascii="Microsoft YaHei" w:eastAsia="Microsoft YaHei" w:hAnsi="Microsoft YaHei" w:cs="Microsoft YaHei"/>
          <w:sz w:val="24"/>
        </w:rPr>
        <w:t>是允许扣除的</w:t>
      </w:r>
    </w:p>
    <w:p w:rsidR="0066392F" w:rsidRPr="00012CD9" w:rsidRDefault="006E3A7B" w:rsidP="00012CD9">
      <w:pPr>
        <w:pStyle w:val="a4"/>
        <w:numPr>
          <w:ilvl w:val="2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职工辞退福利既不属于工资薪金也不属于职工福利费，而应属于与取得应纳税收入有关的所有必要和正常的支出</w:t>
      </w:r>
      <w:r w:rsidRPr="00012CD9">
        <w:rPr>
          <w:rFonts w:ascii="Microsoft YaHei" w:eastAsia="Microsoft YaHei" w:hAnsi="Microsoft YaHei" w:cs="Microsoft YaHei"/>
          <w:sz w:val="24"/>
        </w:rPr>
        <w:t>。</w:t>
      </w:r>
    </w:p>
    <w:p w:rsidR="0066392F" w:rsidRPr="00012CD9" w:rsidRDefault="006E3A7B" w:rsidP="00012CD9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政策依据</w:t>
      </w:r>
    </w:p>
    <w:p w:rsidR="0066392F" w:rsidRPr="00012CD9" w:rsidRDefault="006E3A7B" w:rsidP="00012CD9">
      <w:pPr>
        <w:pStyle w:val="a4"/>
        <w:numPr>
          <w:ilvl w:val="2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来源：国家税务总局天津市税务局</w:t>
      </w:r>
    </w:p>
    <w:p w:rsidR="0066392F" w:rsidRPr="00012CD9" w:rsidRDefault="006E3A7B" w:rsidP="00012CD9">
      <w:pPr>
        <w:pStyle w:val="a4"/>
        <w:numPr>
          <w:ilvl w:val="3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企业与员工解除劳动合同，支付给员工的离职补偿金，如何在企业所得税前扣除？</w:t>
      </w:r>
    </w:p>
    <w:p w:rsidR="0066392F" w:rsidRPr="00012CD9" w:rsidRDefault="006E3A7B" w:rsidP="00012CD9">
      <w:pPr>
        <w:pStyle w:val="a4"/>
        <w:numPr>
          <w:ilvl w:val="3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企业与受雇人员解除劳动合同，支付给职工的一次性补偿金，在不超过</w:t>
      </w:r>
      <w:hyperlink r:id="rId9" w:history="1">
        <w:r w:rsidRPr="00012CD9">
          <w:rPr>
            <w:rStyle w:val="a5"/>
            <w:sz w:val="24"/>
          </w:rPr>
          <w:t>《中华人民共和国劳动合同法》</w:t>
        </w:r>
      </w:hyperlink>
      <w:r w:rsidRPr="00012CD9">
        <w:rPr>
          <w:rFonts w:ascii="Microsoft YaHei" w:eastAsia="Microsoft YaHei" w:hAnsi="Microsoft YaHei" w:cs="Microsoft YaHei"/>
          <w:sz w:val="24"/>
        </w:rPr>
        <w:t>规定的标准和天津市政府相关部门规定标准的部分，可以在税前扣除。</w:t>
      </w:r>
    </w:p>
    <w:p w:rsidR="0066392F" w:rsidRPr="00012CD9" w:rsidRDefault="0066392F" w:rsidP="00012CD9">
      <w:pPr>
        <w:pStyle w:val="a4"/>
        <w:numPr>
          <w:ilvl w:val="2"/>
          <w:numId w:val="2"/>
        </w:numPr>
        <w:spacing w:line="360" w:lineRule="auto"/>
        <w:rPr>
          <w:sz w:val="24"/>
        </w:rPr>
      </w:pPr>
      <w:hyperlink r:id="rId10" w:history="1">
        <w:r w:rsidR="006E3A7B" w:rsidRPr="00012CD9">
          <w:rPr>
            <w:rStyle w:val="a5"/>
            <w:sz w:val="24"/>
          </w:rPr>
          <w:t>《国家税务</w:t>
        </w:r>
        <w:r w:rsidR="006E3A7B" w:rsidRPr="00012CD9">
          <w:rPr>
            <w:rStyle w:val="a5"/>
            <w:sz w:val="24"/>
          </w:rPr>
          <w:t>总局关于华为集团内部人员调动离职补偿税前扣除问题的批复》</w:t>
        </w:r>
      </w:hyperlink>
      <w:r w:rsidR="006E3A7B" w:rsidRPr="00012CD9">
        <w:rPr>
          <w:rFonts w:ascii="Microsoft YaHei" w:eastAsia="Microsoft YaHei" w:hAnsi="Microsoft YaHei" w:cs="Microsoft YaHei"/>
          <w:sz w:val="24"/>
        </w:rPr>
        <w:t>（税总函〔</w:t>
      </w:r>
      <w:r w:rsidR="006E3A7B" w:rsidRPr="00012CD9">
        <w:rPr>
          <w:rFonts w:ascii="Microsoft YaHei" w:eastAsia="Microsoft YaHei" w:hAnsi="Microsoft YaHei" w:cs="Microsoft YaHei"/>
          <w:sz w:val="24"/>
        </w:rPr>
        <w:t>2015</w:t>
      </w:r>
      <w:r w:rsidR="006E3A7B" w:rsidRPr="00012CD9">
        <w:rPr>
          <w:rFonts w:ascii="Microsoft YaHei" w:eastAsia="Microsoft YaHei" w:hAnsi="Microsoft YaHei" w:cs="Microsoft YaHei"/>
          <w:sz w:val="24"/>
        </w:rPr>
        <w:t>〕</w:t>
      </w:r>
      <w:r w:rsidR="006E3A7B" w:rsidRPr="00012CD9">
        <w:rPr>
          <w:rFonts w:ascii="Microsoft YaHei" w:eastAsia="Microsoft YaHei" w:hAnsi="Microsoft YaHei" w:cs="Microsoft YaHei"/>
          <w:sz w:val="24"/>
        </w:rPr>
        <w:t>299</w:t>
      </w:r>
      <w:r w:rsidR="006E3A7B" w:rsidRPr="00012CD9">
        <w:rPr>
          <w:rFonts w:ascii="Microsoft YaHei" w:eastAsia="Microsoft YaHei" w:hAnsi="Microsoft YaHei" w:cs="Microsoft YaHei"/>
          <w:sz w:val="24"/>
        </w:rPr>
        <w:t>号）</w:t>
      </w:r>
    </w:p>
    <w:p w:rsidR="0066392F" w:rsidRPr="00012CD9" w:rsidRDefault="006E3A7B" w:rsidP="00012CD9">
      <w:pPr>
        <w:pStyle w:val="a4"/>
        <w:numPr>
          <w:ilvl w:val="3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企业根据公司财务制度为职工提取离职补偿费，在进行年度企业所得税汇算清缴时，对当年度</w:t>
      </w:r>
      <w:r w:rsidRPr="00012CD9">
        <w:rPr>
          <w:rFonts w:ascii="Microsoft YaHei" w:eastAsia="Microsoft YaHei" w:hAnsi="Microsoft YaHei" w:cs="Microsoft YaHei"/>
          <w:sz w:val="24"/>
        </w:rPr>
        <w:t>“</w:t>
      </w:r>
      <w:r w:rsidRPr="00012CD9">
        <w:rPr>
          <w:rFonts w:ascii="Microsoft YaHei" w:eastAsia="Microsoft YaHei" w:hAnsi="Microsoft YaHei" w:cs="Microsoft YaHei"/>
          <w:sz w:val="24"/>
        </w:rPr>
        <w:t>预提费用</w:t>
      </w:r>
      <w:r w:rsidRPr="00012CD9">
        <w:rPr>
          <w:rFonts w:ascii="Microsoft YaHei" w:eastAsia="Microsoft YaHei" w:hAnsi="Microsoft YaHei" w:cs="Microsoft YaHei"/>
          <w:sz w:val="24"/>
        </w:rPr>
        <w:t>”</w:t>
      </w:r>
      <w:r w:rsidRPr="00012CD9">
        <w:rPr>
          <w:rFonts w:ascii="Microsoft YaHei" w:eastAsia="Microsoft YaHei" w:hAnsi="Microsoft YaHei" w:cs="Microsoft YaHei"/>
          <w:sz w:val="24"/>
        </w:rPr>
        <w:t>科目发生额进行纳税调整，待职工从企业离职并实际领取离职补偿费后，企业可按规定进行税前扣除。</w:t>
      </w:r>
    </w:p>
    <w:p w:rsidR="0066392F" w:rsidRPr="00012CD9" w:rsidRDefault="0066392F" w:rsidP="00012CD9">
      <w:pPr>
        <w:pStyle w:val="a4"/>
        <w:numPr>
          <w:ilvl w:val="2"/>
          <w:numId w:val="2"/>
        </w:numPr>
        <w:spacing w:line="360" w:lineRule="auto"/>
        <w:rPr>
          <w:sz w:val="24"/>
        </w:rPr>
      </w:pPr>
      <w:hyperlink r:id="rId11" w:history="1">
        <w:r w:rsidR="006E3A7B" w:rsidRPr="00012CD9">
          <w:rPr>
            <w:rStyle w:val="a5"/>
            <w:sz w:val="24"/>
          </w:rPr>
          <w:t>《企业所得税法》</w:t>
        </w:r>
      </w:hyperlink>
    </w:p>
    <w:p w:rsidR="0066392F" w:rsidRPr="00012CD9" w:rsidRDefault="006E3A7B" w:rsidP="00012CD9">
      <w:pPr>
        <w:pStyle w:val="a4"/>
        <w:numPr>
          <w:ilvl w:val="3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第八条：企业实际发生的与取得收入有关的、合理的支出，包括成本、费用、税金、损失和其他支出，准予在计算应纳税</w:t>
      </w:r>
      <w:r w:rsidRPr="00012CD9">
        <w:rPr>
          <w:rFonts w:ascii="Microsoft YaHei" w:eastAsia="Microsoft YaHei" w:hAnsi="Microsoft YaHei" w:cs="Microsoft YaHei"/>
          <w:sz w:val="24"/>
        </w:rPr>
        <w:t>所得额时扣除。</w:t>
      </w:r>
    </w:p>
    <w:p w:rsidR="0066392F" w:rsidRPr="00012CD9" w:rsidRDefault="006E3A7B" w:rsidP="00012CD9">
      <w:pPr>
        <w:pStyle w:val="a4"/>
        <w:numPr>
          <w:ilvl w:val="3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第二十一条：在计算应纳税所得额时，企业财务、会计处理办法与税收法律、行政法规的规定不一致的，应当依照税收法律、行政法规的规定计算。</w:t>
      </w:r>
    </w:p>
    <w:p w:rsidR="0066392F" w:rsidRPr="00012CD9" w:rsidRDefault="006E3A7B" w:rsidP="00012CD9">
      <w:pPr>
        <w:pStyle w:val="a4"/>
        <w:numPr>
          <w:ilvl w:val="0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问题五</w:t>
      </w:r>
    </w:p>
    <w:p w:rsidR="0066392F" w:rsidRPr="00012CD9" w:rsidRDefault="006E3A7B" w:rsidP="00012CD9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问</w:t>
      </w:r>
      <w:r w:rsid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：</w:t>
      </w:r>
      <w:r w:rsidRPr="00012CD9">
        <w:rPr>
          <w:rFonts w:ascii="Microsoft YaHei" w:eastAsia="Microsoft YaHei" w:hAnsi="Microsoft YaHei" w:cs="Microsoft YaHei"/>
          <w:sz w:val="24"/>
        </w:rPr>
        <w:t>公司支付职工的离职补偿金，有标准吗？</w:t>
      </w:r>
    </w:p>
    <w:p w:rsidR="0066392F" w:rsidRPr="00012CD9" w:rsidRDefault="006E3A7B" w:rsidP="00012CD9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答</w:t>
      </w:r>
      <w:r w:rsid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：</w:t>
      </w:r>
      <w:r w:rsidRPr="00012CD9">
        <w:rPr>
          <w:rFonts w:ascii="Microsoft YaHei" w:eastAsia="Microsoft YaHei" w:hAnsi="Microsoft YaHei" w:cs="Microsoft YaHei"/>
          <w:sz w:val="24"/>
        </w:rPr>
        <w:t>经济补偿按劳动者在本单位工作的年限，每满一年支付一个月工资的标准向劳动者支付。六个月以上不满一年的，按一年计算；不满六个月的，向劳动者支付半个月工资的经济补偿。劳动者月工资高于用人单位所在直辖市、区的市级人民政府公布的本地区</w:t>
      </w:r>
      <w:r w:rsidRPr="00012CD9">
        <w:rPr>
          <w:rFonts w:ascii="Microsoft YaHei" w:eastAsia="Microsoft YaHei" w:hAnsi="Microsoft YaHei" w:cs="Microsoft YaHei"/>
          <w:sz w:val="24"/>
        </w:rPr>
        <w:lastRenderedPageBreak/>
        <w:t>上年度职工月平均工资三倍的，向其支付经济补偿的标准按职工月平均工资</w:t>
      </w:r>
      <w:r w:rsidRPr="00012CD9">
        <w:rPr>
          <w:rFonts w:ascii="Microsoft YaHei" w:eastAsia="Microsoft YaHei" w:hAnsi="Microsoft YaHei" w:cs="Microsoft YaHei"/>
          <w:b/>
          <w:bCs/>
          <w:sz w:val="24"/>
        </w:rPr>
        <w:t>三倍</w:t>
      </w:r>
      <w:r w:rsidRPr="00012CD9">
        <w:rPr>
          <w:rFonts w:ascii="Microsoft YaHei" w:eastAsia="Microsoft YaHei" w:hAnsi="Microsoft YaHei" w:cs="Microsoft YaHei"/>
          <w:sz w:val="24"/>
        </w:rPr>
        <w:t>的数额支付，向其</w:t>
      </w:r>
      <w:r w:rsidRPr="00012CD9">
        <w:rPr>
          <w:rFonts w:ascii="Microsoft YaHei" w:eastAsia="Microsoft YaHei" w:hAnsi="Microsoft YaHei" w:cs="Microsoft YaHei"/>
          <w:sz w:val="24"/>
        </w:rPr>
        <w:t>支付经济补偿的年限最高不超过</w:t>
      </w:r>
      <w:r w:rsidRPr="00012CD9">
        <w:rPr>
          <w:rFonts w:ascii="Microsoft YaHei" w:eastAsia="Microsoft YaHei" w:hAnsi="Microsoft YaHei" w:cs="Microsoft YaHei"/>
          <w:b/>
          <w:bCs/>
          <w:sz w:val="24"/>
        </w:rPr>
        <w:t>十二年</w:t>
      </w:r>
      <w:r w:rsidRPr="00012CD9">
        <w:rPr>
          <w:rFonts w:ascii="Microsoft YaHei" w:eastAsia="Microsoft YaHei" w:hAnsi="Microsoft YaHei" w:cs="Microsoft YaHei"/>
          <w:sz w:val="24"/>
        </w:rPr>
        <w:t>。</w:t>
      </w:r>
    </w:p>
    <w:p w:rsidR="0066392F" w:rsidRPr="00012CD9" w:rsidRDefault="006E3A7B" w:rsidP="00012CD9">
      <w:pPr>
        <w:pStyle w:val="a4"/>
        <w:numPr>
          <w:ilvl w:val="3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公式：离职补偿金额</w:t>
      </w:r>
      <w:r w:rsidRPr="00012CD9">
        <w:rPr>
          <w:rFonts w:ascii="Microsoft YaHei" w:eastAsia="Microsoft YaHei" w:hAnsi="Microsoft YaHei" w:cs="Microsoft YaHei"/>
          <w:sz w:val="24"/>
        </w:rPr>
        <w:t>=</w:t>
      </w:r>
      <w:r w:rsidRPr="00012CD9">
        <w:rPr>
          <w:rFonts w:ascii="Microsoft YaHei" w:eastAsia="Microsoft YaHei" w:hAnsi="Microsoft YaHei" w:cs="Microsoft YaHei"/>
          <w:sz w:val="24"/>
        </w:rPr>
        <w:t>月平均工资</w:t>
      </w:r>
      <w:r w:rsidRPr="00012CD9">
        <w:rPr>
          <w:rFonts w:ascii="Microsoft YaHei" w:eastAsia="Microsoft YaHei" w:hAnsi="Microsoft YaHei" w:cs="Microsoft YaHei"/>
          <w:sz w:val="24"/>
        </w:rPr>
        <w:t>×</w:t>
      </w:r>
      <w:r w:rsidRPr="00012CD9">
        <w:rPr>
          <w:rFonts w:ascii="Microsoft YaHei" w:eastAsia="Microsoft YaHei" w:hAnsi="Microsoft YaHei" w:cs="Microsoft YaHei"/>
          <w:sz w:val="24"/>
        </w:rPr>
        <w:t>月份</w:t>
      </w:r>
    </w:p>
    <w:p w:rsidR="0066392F" w:rsidRPr="00012CD9" w:rsidRDefault="006E3A7B" w:rsidP="00012CD9">
      <w:pPr>
        <w:pStyle w:val="a4"/>
        <w:numPr>
          <w:ilvl w:val="4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月份根据工作年限算，每满</w:t>
      </w:r>
      <w:r w:rsidRPr="00012CD9">
        <w:rPr>
          <w:rFonts w:ascii="Microsoft YaHei" w:eastAsia="Microsoft YaHei" w:hAnsi="Microsoft YaHei" w:cs="Microsoft YaHei"/>
          <w:sz w:val="24"/>
        </w:rPr>
        <w:t>1</w:t>
      </w:r>
      <w:r w:rsidRPr="00012CD9">
        <w:rPr>
          <w:rFonts w:ascii="Microsoft YaHei" w:eastAsia="Microsoft YaHei" w:hAnsi="Microsoft YaHei" w:cs="Microsoft YaHei"/>
          <w:sz w:val="24"/>
        </w:rPr>
        <w:t>年折成</w:t>
      </w:r>
      <w:r w:rsidRPr="00012CD9">
        <w:rPr>
          <w:rFonts w:ascii="Microsoft YaHei" w:eastAsia="Microsoft YaHei" w:hAnsi="Microsoft YaHei" w:cs="Microsoft YaHei"/>
          <w:sz w:val="24"/>
        </w:rPr>
        <w:t>1</w:t>
      </w:r>
      <w:r w:rsidRPr="00012CD9">
        <w:rPr>
          <w:rFonts w:ascii="Microsoft YaHei" w:eastAsia="Microsoft YaHei" w:hAnsi="Microsoft YaHei" w:cs="Microsoft YaHei"/>
          <w:sz w:val="24"/>
        </w:rPr>
        <w:t>个月，不满半年折成半个月，满半年不满</w:t>
      </w:r>
      <w:r w:rsidRPr="00012CD9">
        <w:rPr>
          <w:rFonts w:ascii="Microsoft YaHei" w:eastAsia="Microsoft YaHei" w:hAnsi="Microsoft YaHei" w:cs="Microsoft YaHei"/>
          <w:sz w:val="24"/>
        </w:rPr>
        <w:t>1</w:t>
      </w:r>
      <w:r w:rsidRPr="00012CD9">
        <w:rPr>
          <w:rFonts w:ascii="Microsoft YaHei" w:eastAsia="Microsoft YaHei" w:hAnsi="Microsoft YaHei" w:cs="Microsoft YaHei"/>
          <w:sz w:val="24"/>
        </w:rPr>
        <w:t>年，折成</w:t>
      </w:r>
      <w:r w:rsidRPr="00012CD9">
        <w:rPr>
          <w:rFonts w:ascii="Microsoft YaHei" w:eastAsia="Microsoft YaHei" w:hAnsi="Microsoft YaHei" w:cs="Microsoft YaHei"/>
          <w:sz w:val="24"/>
        </w:rPr>
        <w:t>1</w:t>
      </w:r>
      <w:r w:rsidRPr="00012CD9">
        <w:rPr>
          <w:rFonts w:ascii="Microsoft YaHei" w:eastAsia="Microsoft YaHei" w:hAnsi="Microsoft YaHei" w:cs="Microsoft YaHei"/>
          <w:sz w:val="24"/>
        </w:rPr>
        <w:t>个月，上限是</w:t>
      </w:r>
      <w:r w:rsidRPr="00012CD9">
        <w:rPr>
          <w:rFonts w:ascii="Microsoft YaHei" w:eastAsia="Microsoft YaHei" w:hAnsi="Microsoft YaHei" w:cs="Microsoft YaHei"/>
          <w:sz w:val="24"/>
        </w:rPr>
        <w:t>12</w:t>
      </w:r>
      <w:r w:rsidRPr="00012CD9">
        <w:rPr>
          <w:rFonts w:ascii="Microsoft YaHei" w:eastAsia="Microsoft YaHei" w:hAnsi="Microsoft YaHei" w:cs="Microsoft YaHei"/>
          <w:sz w:val="24"/>
        </w:rPr>
        <w:t>个月。</w:t>
      </w:r>
    </w:p>
    <w:p w:rsidR="0066392F" w:rsidRPr="00012CD9" w:rsidRDefault="006E3A7B" w:rsidP="00012CD9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政策依据</w:t>
      </w:r>
    </w:p>
    <w:p w:rsidR="0066392F" w:rsidRPr="00012CD9" w:rsidRDefault="0066392F" w:rsidP="00012CD9">
      <w:pPr>
        <w:pStyle w:val="a4"/>
        <w:numPr>
          <w:ilvl w:val="2"/>
          <w:numId w:val="2"/>
        </w:numPr>
        <w:spacing w:line="360" w:lineRule="auto"/>
        <w:rPr>
          <w:sz w:val="24"/>
        </w:rPr>
      </w:pPr>
      <w:hyperlink r:id="rId12" w:history="1">
        <w:r w:rsidR="006E3A7B" w:rsidRPr="00012CD9">
          <w:rPr>
            <w:rStyle w:val="a5"/>
            <w:sz w:val="24"/>
          </w:rPr>
          <w:t>《劳动合同法》</w:t>
        </w:r>
      </w:hyperlink>
    </w:p>
    <w:p w:rsidR="0066392F" w:rsidRPr="00012CD9" w:rsidRDefault="006E3A7B" w:rsidP="00012CD9">
      <w:pPr>
        <w:pStyle w:val="a4"/>
        <w:numPr>
          <w:ilvl w:val="3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第四十七条，劳动合同解除或终止后，用人单位应当按照劳动者在本单位工作的年限，每满一年支付一个月工资的标准向劳动者支付经济补偿。六个月以上不满一年的，按一年计算；不满六个月的，支付半个月工资的经济补偿。</w:t>
      </w:r>
    </w:p>
    <w:p w:rsidR="0066392F" w:rsidRPr="00012CD9" w:rsidRDefault="006E3A7B" w:rsidP="00012CD9">
      <w:pPr>
        <w:pStyle w:val="a4"/>
        <w:numPr>
          <w:ilvl w:val="0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问题六</w:t>
      </w:r>
    </w:p>
    <w:p w:rsidR="0066392F" w:rsidRPr="00012CD9" w:rsidRDefault="006E3A7B" w:rsidP="00012CD9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问</w:t>
      </w:r>
      <w:r w:rsid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：</w:t>
      </w:r>
      <w:r w:rsidRPr="00012CD9">
        <w:rPr>
          <w:rFonts w:ascii="Microsoft YaHei" w:eastAsia="Microsoft YaHei" w:hAnsi="Microsoft YaHei" w:cs="Microsoft YaHei"/>
          <w:sz w:val="24"/>
        </w:rPr>
        <w:t>公司支付职工的离职补偿金，是否需要缴纳个人所得税？</w:t>
      </w:r>
    </w:p>
    <w:p w:rsidR="0066392F" w:rsidRPr="00012CD9" w:rsidRDefault="006E3A7B" w:rsidP="00012CD9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答</w:t>
      </w:r>
      <w:r w:rsidR="00012CD9">
        <w:rPr>
          <w:rFonts w:ascii="Microsoft YaHei" w:eastAsia="Microsoft YaHei" w:hAnsi="Microsoft YaHei" w:cs="Microsoft YaHei"/>
          <w:b/>
          <w:bCs/>
          <w:color w:val="DC2D1E"/>
          <w:sz w:val="24"/>
        </w:rPr>
        <w:t>：</w:t>
      </w:r>
      <w:r w:rsidRPr="00012CD9">
        <w:rPr>
          <w:rFonts w:ascii="Microsoft YaHei" w:eastAsia="Microsoft YaHei" w:hAnsi="Microsoft YaHei" w:cs="Microsoft YaHei"/>
          <w:sz w:val="24"/>
        </w:rPr>
        <w:t>个人与用人单位解除劳动关系取得一次性补偿收入（包括用人单位发放的经济补偿金、生活补助费和其他补助费），在当地上年职工平均工资</w:t>
      </w:r>
      <w:r w:rsidRPr="00012CD9">
        <w:rPr>
          <w:rFonts w:ascii="Microsoft YaHei" w:eastAsia="Microsoft YaHei" w:hAnsi="Microsoft YaHei" w:cs="Microsoft YaHei"/>
          <w:sz w:val="24"/>
        </w:rPr>
        <w:t>3</w:t>
      </w:r>
      <w:r w:rsidRPr="00012CD9">
        <w:rPr>
          <w:rFonts w:ascii="Microsoft YaHei" w:eastAsia="Microsoft YaHei" w:hAnsi="Microsoft YaHei" w:cs="Microsoft YaHei"/>
          <w:sz w:val="24"/>
        </w:rPr>
        <w:t>倍数额以内的部分，免征个人所得税；</w:t>
      </w:r>
      <w:r w:rsidRPr="00012CD9">
        <w:rPr>
          <w:rFonts w:ascii="Microsoft YaHei" w:eastAsia="Microsoft YaHei" w:hAnsi="Microsoft YaHei" w:cs="Microsoft YaHei"/>
          <w:b/>
          <w:bCs/>
          <w:sz w:val="24"/>
        </w:rPr>
        <w:t>超过</w:t>
      </w:r>
      <w:r w:rsidRPr="00012CD9">
        <w:rPr>
          <w:rFonts w:ascii="Microsoft YaHei" w:eastAsia="Microsoft YaHei" w:hAnsi="Microsoft YaHei" w:cs="Microsoft YaHei"/>
          <w:b/>
          <w:bCs/>
          <w:sz w:val="24"/>
        </w:rPr>
        <w:t>3</w:t>
      </w:r>
      <w:r w:rsidRPr="00012CD9">
        <w:rPr>
          <w:rFonts w:ascii="Microsoft YaHei" w:eastAsia="Microsoft YaHei" w:hAnsi="Microsoft YaHei" w:cs="Microsoft YaHei"/>
          <w:b/>
          <w:bCs/>
          <w:sz w:val="24"/>
        </w:rPr>
        <w:t>倍数额的部分</w:t>
      </w:r>
      <w:r w:rsidRPr="00012CD9">
        <w:rPr>
          <w:rFonts w:ascii="Microsoft YaHei" w:eastAsia="Microsoft YaHei" w:hAnsi="Microsoft YaHei" w:cs="Microsoft YaHei"/>
          <w:sz w:val="24"/>
        </w:rPr>
        <w:t>，不并入当年综合所得，单独适用综合所得税率表，计算纳税。</w:t>
      </w:r>
    </w:p>
    <w:p w:rsidR="0066392F" w:rsidRPr="00012CD9" w:rsidRDefault="006E3A7B" w:rsidP="00012CD9">
      <w:pPr>
        <w:pStyle w:val="a4"/>
        <w:numPr>
          <w:ilvl w:val="1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政策依据</w:t>
      </w:r>
    </w:p>
    <w:p w:rsidR="0066392F" w:rsidRPr="00012CD9" w:rsidRDefault="0066392F" w:rsidP="00012CD9">
      <w:pPr>
        <w:pStyle w:val="a4"/>
        <w:numPr>
          <w:ilvl w:val="2"/>
          <w:numId w:val="2"/>
        </w:numPr>
        <w:spacing w:line="360" w:lineRule="auto"/>
        <w:rPr>
          <w:sz w:val="24"/>
        </w:rPr>
      </w:pPr>
      <w:hyperlink r:id="rId13" w:history="1">
        <w:r w:rsidR="006E3A7B" w:rsidRPr="00012CD9">
          <w:rPr>
            <w:rStyle w:val="a5"/>
            <w:sz w:val="24"/>
          </w:rPr>
          <w:t>《财政部</w:t>
        </w:r>
        <w:r w:rsidR="006E3A7B" w:rsidRPr="00012CD9">
          <w:rPr>
            <w:rStyle w:val="a5"/>
            <w:sz w:val="24"/>
          </w:rPr>
          <w:t xml:space="preserve"> </w:t>
        </w:r>
        <w:r w:rsidR="006E3A7B" w:rsidRPr="00012CD9">
          <w:rPr>
            <w:rStyle w:val="a5"/>
            <w:sz w:val="24"/>
          </w:rPr>
          <w:t>税务总局关于个人所得税法修改后有关优惠政策衔接问题的通知》</w:t>
        </w:r>
      </w:hyperlink>
      <w:r w:rsidR="006E3A7B" w:rsidRPr="00012CD9">
        <w:rPr>
          <w:rFonts w:ascii="Microsoft YaHei" w:eastAsia="Microsoft YaHei" w:hAnsi="Microsoft YaHei" w:cs="Microsoft YaHei"/>
          <w:sz w:val="24"/>
        </w:rPr>
        <w:t>（财税〔</w:t>
      </w:r>
      <w:r w:rsidR="006E3A7B" w:rsidRPr="00012CD9">
        <w:rPr>
          <w:rFonts w:ascii="Microsoft YaHei" w:eastAsia="Microsoft YaHei" w:hAnsi="Microsoft YaHei" w:cs="Microsoft YaHei"/>
          <w:sz w:val="24"/>
        </w:rPr>
        <w:t>2018</w:t>
      </w:r>
      <w:r w:rsidR="006E3A7B" w:rsidRPr="00012CD9">
        <w:rPr>
          <w:rFonts w:ascii="Microsoft YaHei" w:eastAsia="Microsoft YaHei" w:hAnsi="Microsoft YaHei" w:cs="Microsoft YaHei"/>
          <w:sz w:val="24"/>
        </w:rPr>
        <w:t>〕</w:t>
      </w:r>
      <w:r w:rsidR="006E3A7B" w:rsidRPr="00012CD9">
        <w:rPr>
          <w:rFonts w:ascii="Microsoft YaHei" w:eastAsia="Microsoft YaHei" w:hAnsi="Microsoft YaHei" w:cs="Microsoft YaHei"/>
          <w:sz w:val="24"/>
        </w:rPr>
        <w:t>164</w:t>
      </w:r>
      <w:r w:rsidR="006E3A7B" w:rsidRPr="00012CD9">
        <w:rPr>
          <w:rFonts w:ascii="Microsoft YaHei" w:eastAsia="Microsoft YaHei" w:hAnsi="Microsoft YaHei" w:cs="Microsoft YaHei"/>
          <w:sz w:val="24"/>
        </w:rPr>
        <w:t>号）规定，个人与用人单位解除劳动关系取得一次性补偿收入（包括用人单位发放的经济补偿金、生活补助费和其他补助费），在当地上年职工平均工资</w:t>
      </w:r>
      <w:r w:rsidR="006E3A7B" w:rsidRPr="00012CD9">
        <w:rPr>
          <w:rFonts w:ascii="Microsoft YaHei" w:eastAsia="Microsoft YaHei" w:hAnsi="Microsoft YaHei" w:cs="Microsoft YaHei"/>
          <w:sz w:val="24"/>
        </w:rPr>
        <w:t>3</w:t>
      </w:r>
      <w:r w:rsidR="006E3A7B" w:rsidRPr="00012CD9">
        <w:rPr>
          <w:rFonts w:ascii="Microsoft YaHei" w:eastAsia="Microsoft YaHei" w:hAnsi="Microsoft YaHei" w:cs="Microsoft YaHei"/>
          <w:sz w:val="24"/>
        </w:rPr>
        <w:t>倍数额以内的部分，免征个人所得税；离职经济补偿金超过当地上年职工平均工资</w:t>
      </w:r>
      <w:r w:rsidR="006E3A7B" w:rsidRPr="00012CD9">
        <w:rPr>
          <w:rFonts w:ascii="Microsoft YaHei" w:eastAsia="Microsoft YaHei" w:hAnsi="Microsoft YaHei" w:cs="Microsoft YaHei"/>
          <w:sz w:val="24"/>
        </w:rPr>
        <w:t>3</w:t>
      </w:r>
      <w:r w:rsidR="006E3A7B" w:rsidRPr="00012CD9">
        <w:rPr>
          <w:rFonts w:ascii="Microsoft YaHei" w:eastAsia="Microsoft YaHei" w:hAnsi="Microsoft YaHei" w:cs="Microsoft YaHei"/>
          <w:sz w:val="24"/>
        </w:rPr>
        <w:t>倍数额的部分，超过</w:t>
      </w:r>
      <w:r w:rsidR="006E3A7B" w:rsidRPr="00012CD9">
        <w:rPr>
          <w:rFonts w:ascii="Microsoft YaHei" w:eastAsia="Microsoft YaHei" w:hAnsi="Microsoft YaHei" w:cs="Microsoft YaHei"/>
          <w:sz w:val="24"/>
        </w:rPr>
        <w:t>3</w:t>
      </w:r>
      <w:r w:rsidR="006E3A7B" w:rsidRPr="00012CD9">
        <w:rPr>
          <w:rFonts w:ascii="Microsoft YaHei" w:eastAsia="Microsoft YaHei" w:hAnsi="Microsoft YaHei" w:cs="Microsoft YaHei"/>
          <w:sz w:val="24"/>
        </w:rPr>
        <w:t>倍数额的部分，不并入当年综合所得，单独适用综合所得税率表，计算纳</w:t>
      </w:r>
      <w:r w:rsidR="006E3A7B" w:rsidRPr="00012CD9">
        <w:rPr>
          <w:rFonts w:ascii="Microsoft YaHei" w:eastAsia="Microsoft YaHei" w:hAnsi="Microsoft YaHei" w:cs="Microsoft YaHei"/>
          <w:sz w:val="24"/>
        </w:rPr>
        <w:t>税。</w:t>
      </w:r>
    </w:p>
    <w:p w:rsidR="0066392F" w:rsidRPr="00012CD9" w:rsidRDefault="006E3A7B" w:rsidP="00012CD9">
      <w:pPr>
        <w:pStyle w:val="a4"/>
        <w:numPr>
          <w:ilvl w:val="2"/>
          <w:numId w:val="2"/>
        </w:numPr>
        <w:spacing w:line="360" w:lineRule="auto"/>
        <w:rPr>
          <w:sz w:val="24"/>
        </w:rPr>
      </w:pPr>
      <w:r w:rsidRPr="00012CD9">
        <w:rPr>
          <w:rFonts w:ascii="Microsoft YaHei" w:eastAsia="Microsoft YaHei" w:hAnsi="Microsoft YaHei" w:cs="Microsoft YaHei"/>
          <w:sz w:val="24"/>
        </w:rPr>
        <w:t>个税申报系统中选择：</w:t>
      </w:r>
      <w:r w:rsidRPr="00012CD9">
        <w:rPr>
          <w:rFonts w:ascii="Microsoft YaHei" w:eastAsia="Microsoft YaHei" w:hAnsi="Microsoft YaHei" w:cs="Microsoft YaHei"/>
          <w:b/>
          <w:bCs/>
          <w:sz w:val="24"/>
        </w:rPr>
        <w:t>解除劳动合同一次性补偿金</w:t>
      </w:r>
      <w:r w:rsidRPr="00012CD9">
        <w:rPr>
          <w:rFonts w:ascii="Microsoft YaHei" w:eastAsia="Microsoft YaHei" w:hAnsi="Microsoft YaHei" w:cs="Microsoft YaHei"/>
          <w:sz w:val="24"/>
        </w:rPr>
        <w:t>这项进行申报个税。</w:t>
      </w:r>
    </w:p>
    <w:sectPr w:rsidR="0066392F" w:rsidRPr="00012CD9" w:rsidSect="00012CD9"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A7B" w:rsidRDefault="006E3A7B" w:rsidP="0066392F">
      <w:r>
        <w:separator/>
      </w:r>
    </w:p>
  </w:endnote>
  <w:endnote w:type="continuationSeparator" w:id="1">
    <w:p w:rsidR="006E3A7B" w:rsidRDefault="006E3A7B" w:rsidP="00663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A7B" w:rsidRDefault="006E3A7B" w:rsidP="0066392F">
      <w:r>
        <w:separator/>
      </w:r>
    </w:p>
  </w:footnote>
  <w:footnote w:type="continuationSeparator" w:id="1">
    <w:p w:rsidR="006E3A7B" w:rsidRDefault="006E3A7B" w:rsidP="00663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2A5"/>
    <w:multiLevelType w:val="multilevel"/>
    <w:tmpl w:val="CD84D616"/>
    <w:lvl w:ilvl="0">
      <w:start w:val="2"/>
      <w:numFmt w:val="decimal"/>
      <w:lvlText w:val="%1"/>
      <w:lvlJc w:val="left"/>
      <w:pPr>
        <w:ind w:left="780" w:hanging="780"/>
      </w:pPr>
      <w:rPr>
        <w:rFonts w:ascii="Microsoft YaHei" w:eastAsia="Microsoft YaHei" w:hAnsi="Microsoft YaHei" w:cs="Microsoft YaHei" w:hint="default"/>
        <w:color w:val="000000"/>
      </w:rPr>
    </w:lvl>
    <w:lvl w:ilvl="1">
      <w:start w:val="25"/>
      <w:numFmt w:val="decimal"/>
      <w:lvlText w:val="%1.%2"/>
      <w:lvlJc w:val="left"/>
      <w:pPr>
        <w:ind w:left="780" w:hanging="780"/>
      </w:pPr>
      <w:rPr>
        <w:rFonts w:ascii="Microsoft YaHei" w:eastAsia="Microsoft YaHei" w:hAnsi="Microsoft YaHei" w:cs="Microsoft YaHei" w:hint="default"/>
        <w:color w:val="000000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ascii="Microsoft YaHei" w:eastAsia="Microsoft YaHei" w:hAnsi="Microsoft YaHei" w:cs="Microsoft YaHei"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ascii="Microsoft YaHei" w:eastAsia="Microsoft YaHei" w:hAnsi="Microsoft YaHei" w:cs="Microsoft YaHe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Microsoft YaHei" w:eastAsia="Microsoft YaHei" w:hAnsi="Microsoft YaHei" w:cs="Microsoft YaHe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icrosoft YaHei" w:eastAsia="Microsoft YaHei" w:hAnsi="Microsoft YaHei" w:cs="Microsoft YaHe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Microsoft YaHei" w:eastAsia="Microsoft YaHei" w:hAnsi="Microsoft YaHei" w:cs="Microsoft YaHe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icrosoft YaHei" w:eastAsia="Microsoft YaHei" w:hAnsi="Microsoft YaHei" w:cs="Microsoft YaHe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Microsoft YaHei" w:eastAsia="Microsoft YaHei" w:hAnsi="Microsoft YaHei" w:cs="Microsoft YaHei" w:hint="default"/>
        <w:color w:val="000000"/>
      </w:rPr>
    </w:lvl>
  </w:abstractNum>
  <w:abstractNum w:abstractNumId="1">
    <w:nsid w:val="2467375E"/>
    <w:multiLevelType w:val="hybridMultilevel"/>
    <w:tmpl w:val="82E85D9C"/>
    <w:lvl w:ilvl="0" w:tplc="AFEEB554">
      <w:start w:val="1"/>
      <w:numFmt w:val="decimal"/>
      <w:lvlText w:val="●"/>
      <w:lvlJc w:val="left"/>
      <w:pPr>
        <w:spacing w:before="100" w:after="100"/>
        <w:ind w:left="0" w:hanging="200"/>
      </w:pPr>
    </w:lvl>
    <w:lvl w:ilvl="1" w:tplc="0DD85AFA">
      <w:start w:val="1"/>
      <w:numFmt w:val="decimal"/>
      <w:lvlText w:val="●"/>
      <w:lvlJc w:val="left"/>
      <w:pPr>
        <w:spacing w:before="100" w:after="100"/>
        <w:ind w:left="350" w:hanging="200"/>
      </w:pPr>
    </w:lvl>
    <w:lvl w:ilvl="2" w:tplc="891EEB94">
      <w:start w:val="1"/>
      <w:numFmt w:val="decimal"/>
      <w:lvlText w:val="●"/>
      <w:lvlJc w:val="left"/>
      <w:pPr>
        <w:spacing w:before="100" w:after="100"/>
        <w:ind w:left="700" w:hanging="200"/>
      </w:pPr>
    </w:lvl>
    <w:lvl w:ilvl="3" w:tplc="45D43428">
      <w:start w:val="1"/>
      <w:numFmt w:val="decimal"/>
      <w:lvlText w:val="●"/>
      <w:lvlJc w:val="left"/>
      <w:pPr>
        <w:spacing w:before="100" w:after="100"/>
        <w:ind w:left="1050" w:hanging="200"/>
      </w:pPr>
    </w:lvl>
    <w:lvl w:ilvl="4" w:tplc="33B61886">
      <w:start w:val="1"/>
      <w:numFmt w:val="decimal"/>
      <w:lvlText w:val="●"/>
      <w:lvlJc w:val="left"/>
      <w:pPr>
        <w:spacing w:before="100" w:after="100"/>
        <w:ind w:left="1400" w:hanging="200"/>
      </w:pPr>
    </w:lvl>
    <w:lvl w:ilvl="5" w:tplc="25FA59E6">
      <w:start w:val="1"/>
      <w:numFmt w:val="decimal"/>
      <w:lvlText w:val="●"/>
      <w:lvlJc w:val="left"/>
      <w:pPr>
        <w:spacing w:before="100" w:after="100"/>
        <w:ind w:left="1750" w:hanging="200"/>
      </w:pPr>
    </w:lvl>
    <w:lvl w:ilvl="6" w:tplc="51A6C620">
      <w:start w:val="1"/>
      <w:numFmt w:val="decimal"/>
      <w:lvlText w:val="●"/>
      <w:lvlJc w:val="left"/>
      <w:pPr>
        <w:spacing w:before="100" w:after="100"/>
        <w:ind w:left="2100" w:hanging="200"/>
      </w:pPr>
    </w:lvl>
    <w:lvl w:ilvl="7" w:tplc="72023454">
      <w:start w:val="1"/>
      <w:numFmt w:val="decimal"/>
      <w:lvlText w:val="●"/>
      <w:lvlJc w:val="left"/>
      <w:pPr>
        <w:spacing w:before="100" w:after="100"/>
        <w:ind w:left="2450" w:hanging="200"/>
      </w:pPr>
    </w:lvl>
    <w:lvl w:ilvl="8" w:tplc="0B422D62">
      <w:start w:val="1"/>
      <w:numFmt w:val="decimal"/>
      <w:lvlText w:val="●"/>
      <w:lvlJc w:val="left"/>
      <w:pPr>
        <w:spacing w:before="100" w:after="100"/>
        <w:ind w:left="2800" w:hanging="200"/>
      </w:pPr>
    </w:lvl>
  </w:abstractNum>
  <w:abstractNum w:abstractNumId="2">
    <w:nsid w:val="75D23DDB"/>
    <w:multiLevelType w:val="hybridMultilevel"/>
    <w:tmpl w:val="A476D434"/>
    <w:lvl w:ilvl="0" w:tplc="4580B7D4">
      <w:start w:val="1"/>
      <w:numFmt w:val="bullet"/>
      <w:lvlText w:val="●"/>
      <w:lvlJc w:val="left"/>
      <w:pPr>
        <w:ind w:left="720" w:hanging="360"/>
      </w:pPr>
    </w:lvl>
    <w:lvl w:ilvl="1" w:tplc="EF4CCC90">
      <w:start w:val="1"/>
      <w:numFmt w:val="bullet"/>
      <w:lvlText w:val="○"/>
      <w:lvlJc w:val="left"/>
      <w:pPr>
        <w:ind w:left="1440" w:hanging="360"/>
      </w:pPr>
    </w:lvl>
    <w:lvl w:ilvl="2" w:tplc="49A0DD12">
      <w:start w:val="1"/>
      <w:numFmt w:val="bullet"/>
      <w:lvlText w:val="■"/>
      <w:lvlJc w:val="left"/>
      <w:pPr>
        <w:ind w:left="2160" w:hanging="360"/>
      </w:pPr>
    </w:lvl>
    <w:lvl w:ilvl="3" w:tplc="BBE00730">
      <w:start w:val="1"/>
      <w:numFmt w:val="bullet"/>
      <w:lvlText w:val="●"/>
      <w:lvlJc w:val="left"/>
      <w:pPr>
        <w:ind w:left="2880" w:hanging="360"/>
      </w:pPr>
    </w:lvl>
    <w:lvl w:ilvl="4" w:tplc="0882C832">
      <w:start w:val="1"/>
      <w:numFmt w:val="bullet"/>
      <w:lvlText w:val="○"/>
      <w:lvlJc w:val="left"/>
      <w:pPr>
        <w:ind w:left="3600" w:hanging="360"/>
      </w:pPr>
    </w:lvl>
    <w:lvl w:ilvl="5" w:tplc="CA524C9C">
      <w:start w:val="1"/>
      <w:numFmt w:val="bullet"/>
      <w:lvlText w:val="■"/>
      <w:lvlJc w:val="left"/>
      <w:pPr>
        <w:ind w:left="4320" w:hanging="360"/>
      </w:pPr>
    </w:lvl>
    <w:lvl w:ilvl="6" w:tplc="91FCD696">
      <w:start w:val="1"/>
      <w:numFmt w:val="bullet"/>
      <w:lvlText w:val="●"/>
      <w:lvlJc w:val="left"/>
      <w:pPr>
        <w:ind w:left="5040" w:hanging="360"/>
      </w:pPr>
    </w:lvl>
    <w:lvl w:ilvl="7" w:tplc="F15A89C2">
      <w:start w:val="1"/>
      <w:numFmt w:val="bullet"/>
      <w:lvlText w:val="●"/>
      <w:lvlJc w:val="left"/>
      <w:pPr>
        <w:ind w:left="5760" w:hanging="360"/>
      </w:pPr>
    </w:lvl>
    <w:lvl w:ilvl="8" w:tplc="3AEAAD28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392F"/>
    <w:rsid w:val="00012CD9"/>
    <w:rsid w:val="002C3768"/>
    <w:rsid w:val="0066392F"/>
    <w:rsid w:val="006E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66392F"/>
    <w:rPr>
      <w:sz w:val="56"/>
      <w:szCs w:val="56"/>
    </w:rPr>
  </w:style>
  <w:style w:type="paragraph" w:customStyle="1" w:styleId="Heading1">
    <w:name w:val="Heading 1"/>
    <w:qFormat/>
    <w:rsid w:val="0066392F"/>
    <w:rPr>
      <w:color w:val="2E74B5"/>
      <w:sz w:val="32"/>
      <w:szCs w:val="32"/>
    </w:rPr>
  </w:style>
  <w:style w:type="paragraph" w:customStyle="1" w:styleId="Heading2">
    <w:name w:val="Heading 2"/>
    <w:qFormat/>
    <w:rsid w:val="0066392F"/>
    <w:rPr>
      <w:color w:val="2E74B5"/>
      <w:sz w:val="26"/>
      <w:szCs w:val="26"/>
    </w:rPr>
  </w:style>
  <w:style w:type="paragraph" w:customStyle="1" w:styleId="Heading3">
    <w:name w:val="Heading 3"/>
    <w:qFormat/>
    <w:rsid w:val="0066392F"/>
    <w:rPr>
      <w:color w:val="1F4D78"/>
      <w:sz w:val="24"/>
      <w:szCs w:val="24"/>
    </w:rPr>
  </w:style>
  <w:style w:type="paragraph" w:customStyle="1" w:styleId="Heading4">
    <w:name w:val="Heading 4"/>
    <w:qFormat/>
    <w:rsid w:val="0066392F"/>
    <w:rPr>
      <w:i/>
      <w:iCs/>
      <w:color w:val="2E74B5"/>
    </w:rPr>
  </w:style>
  <w:style w:type="paragraph" w:customStyle="1" w:styleId="Heading5">
    <w:name w:val="Heading 5"/>
    <w:qFormat/>
    <w:rsid w:val="0066392F"/>
    <w:rPr>
      <w:color w:val="2E74B5"/>
    </w:rPr>
  </w:style>
  <w:style w:type="paragraph" w:customStyle="1" w:styleId="Heading6">
    <w:name w:val="Heading 6"/>
    <w:qFormat/>
    <w:rsid w:val="0066392F"/>
    <w:rPr>
      <w:color w:val="1F4D78"/>
    </w:rPr>
  </w:style>
  <w:style w:type="paragraph" w:styleId="a4">
    <w:name w:val="List Paragraph"/>
    <w:qFormat/>
    <w:rsid w:val="0066392F"/>
  </w:style>
  <w:style w:type="character" w:styleId="a5">
    <w:name w:val="Hyperlink"/>
    <w:uiPriority w:val="99"/>
    <w:unhideWhenUsed/>
    <w:rsid w:val="0066392F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66392F"/>
    <w:rPr>
      <w:vertAlign w:val="superscript"/>
    </w:rPr>
  </w:style>
  <w:style w:type="paragraph" w:styleId="a7">
    <w:name w:val="footnote text"/>
    <w:link w:val="Char"/>
    <w:uiPriority w:val="99"/>
    <w:semiHidden/>
    <w:unhideWhenUsed/>
    <w:rsid w:val="0066392F"/>
  </w:style>
  <w:style w:type="character" w:customStyle="1" w:styleId="Char">
    <w:name w:val="脚注文本 Char"/>
    <w:link w:val="a7"/>
    <w:uiPriority w:val="99"/>
    <w:semiHidden/>
    <w:unhideWhenUsed/>
    <w:rsid w:val="0066392F"/>
    <w:rPr>
      <w:sz w:val="20"/>
      <w:szCs w:val="20"/>
    </w:rPr>
  </w:style>
  <w:style w:type="paragraph" w:styleId="a8">
    <w:name w:val="header"/>
    <w:basedOn w:val="a"/>
    <w:link w:val="Char0"/>
    <w:uiPriority w:val="99"/>
    <w:semiHidden/>
    <w:unhideWhenUsed/>
    <w:rsid w:val="00012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012CD9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012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012C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i5.cn/article/90/22069.html" TargetMode="External"/><Relationship Id="rId13" Type="http://schemas.openxmlformats.org/officeDocument/2006/relationships/hyperlink" Target="https://www.shui5.cn/article/7a/12496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ui5.cn/article/78/40675.html" TargetMode="External"/><Relationship Id="rId12" Type="http://schemas.openxmlformats.org/officeDocument/2006/relationships/hyperlink" Target="https://www.shui5.cn/article/60/3878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ui5.cn/article/af/39939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hui5.cn/article/4c/7856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ui5.cn/article/60/3878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2.25 离职补偿金的六个税务问题</dc:title>
  <cp:lastModifiedBy>PC</cp:lastModifiedBy>
  <cp:revision>3</cp:revision>
  <dcterms:created xsi:type="dcterms:W3CDTF">2022-02-25T16:21:00Z</dcterms:created>
  <dcterms:modified xsi:type="dcterms:W3CDTF">2024-08-01T15:07:00Z</dcterms:modified>
</cp:coreProperties>
</file>