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E8" w:rsidRPr="004C5876" w:rsidRDefault="006851A2" w:rsidP="004C5876">
      <w:pPr>
        <w:pStyle w:val="Heading1"/>
        <w:spacing w:line="360" w:lineRule="auto"/>
        <w:rPr>
          <w:sz w:val="72"/>
        </w:rPr>
      </w:pPr>
      <w:r w:rsidRPr="004C5876">
        <w:rPr>
          <w:rFonts w:ascii="Microsoft YaHei" w:eastAsia="Microsoft YaHei" w:hAnsi="Microsoft YaHei" w:cs="Microsoft YaHei"/>
          <w:color w:val="000000"/>
          <w:sz w:val="72"/>
        </w:rPr>
        <w:t>差旅费的财税处理</w:t>
      </w:r>
    </w:p>
    <w:p w:rsidR="00FF21E8" w:rsidRPr="004C5876" w:rsidRDefault="006851A2" w:rsidP="004C5876">
      <w:pPr>
        <w:pStyle w:val="a4"/>
        <w:numPr>
          <w:ilvl w:val="0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什么是差旅费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差旅费指工作人员到常住地以外地区公务出差，所发生的城市间交通费、住宿费、伙食补助费和市内交通费。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参照</w:t>
      </w:r>
      <w:r w:rsidR="004C5876">
        <w:rPr>
          <w:rFonts w:ascii="Microsoft YaHei" w:hAnsi="Microsoft YaHei" w:cs="Microsoft YaHei" w:hint="eastAsia"/>
          <w:sz w:val="40"/>
        </w:rPr>
        <w:t>：</w:t>
      </w:r>
      <w:hyperlink r:id="rId7" w:history="1">
        <w:r w:rsidRPr="004C5876">
          <w:rPr>
            <w:rStyle w:val="a5"/>
            <w:sz w:val="40"/>
          </w:rPr>
          <w:t>《中央和国家机关差旅费管理办法》</w:t>
        </w:r>
      </w:hyperlink>
    </w:p>
    <w:p w:rsidR="00FF21E8" w:rsidRPr="004C5876" w:rsidRDefault="006851A2" w:rsidP="004C5876">
      <w:pPr>
        <w:pStyle w:val="a4"/>
        <w:spacing w:before="100" w:after="100"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增值税涉税处理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交通费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可抵扣进项税额</w:t>
      </w:r>
    </w:p>
    <w:p w:rsidR="00FF21E8" w:rsidRPr="004C5876" w:rsidRDefault="00FF21E8" w:rsidP="004C5876">
      <w:pPr>
        <w:spacing w:line="360" w:lineRule="auto"/>
        <w:ind w:left="700"/>
        <w:rPr>
          <w:sz w:val="40"/>
        </w:rPr>
      </w:pPr>
      <w:hyperlink r:id="rId8" w:history="1">
        <w:r w:rsidR="006851A2" w:rsidRPr="004C5876">
          <w:rPr>
            <w:rStyle w:val="a5"/>
            <w:sz w:val="40"/>
          </w:rPr>
          <w:t>财政部</w:t>
        </w:r>
        <w:r w:rsidR="006851A2" w:rsidRPr="004C5876">
          <w:rPr>
            <w:rStyle w:val="a5"/>
            <w:sz w:val="40"/>
          </w:rPr>
          <w:t xml:space="preserve"> </w:t>
        </w:r>
        <w:r w:rsidR="006851A2" w:rsidRPr="004C5876">
          <w:rPr>
            <w:rStyle w:val="a5"/>
            <w:sz w:val="40"/>
          </w:rPr>
          <w:t>税务总局</w:t>
        </w:r>
        <w:r w:rsidR="006851A2" w:rsidRPr="004C5876">
          <w:rPr>
            <w:rStyle w:val="a5"/>
            <w:sz w:val="40"/>
          </w:rPr>
          <w:t xml:space="preserve"> </w:t>
        </w:r>
        <w:r w:rsidR="006851A2" w:rsidRPr="004C5876">
          <w:rPr>
            <w:rStyle w:val="a5"/>
            <w:sz w:val="40"/>
          </w:rPr>
          <w:t>海关总署公告</w:t>
        </w:r>
        <w:r w:rsidR="006851A2" w:rsidRPr="004C5876">
          <w:rPr>
            <w:rStyle w:val="a5"/>
            <w:sz w:val="40"/>
          </w:rPr>
          <w:t>2019</w:t>
        </w:r>
        <w:r w:rsidR="006851A2" w:rsidRPr="004C5876">
          <w:rPr>
            <w:rStyle w:val="a5"/>
            <w:sz w:val="40"/>
          </w:rPr>
          <w:t>年第</w:t>
        </w:r>
        <w:r w:rsidR="006851A2" w:rsidRPr="004C5876">
          <w:rPr>
            <w:rStyle w:val="a5"/>
            <w:sz w:val="40"/>
          </w:rPr>
          <w:t>39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取得增值税电子普通发票的，为发票上注明的税额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取得注明旅客身份信息的航空运输电子客票行程单的</w:t>
      </w:r>
    </w:p>
    <w:p w:rsidR="00FF21E8" w:rsidRPr="004C5876" w:rsidRDefault="006851A2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航空旅客运输进项税额</w:t>
      </w:r>
      <w:r w:rsidRPr="004C5876">
        <w:rPr>
          <w:rFonts w:ascii="Microsoft YaHei" w:eastAsia="Microsoft YaHei" w:hAnsi="Microsoft YaHei" w:cs="Microsoft YaHei"/>
          <w:sz w:val="40"/>
        </w:rPr>
        <w:t>=(</w:t>
      </w:r>
      <w:r w:rsidRPr="004C5876">
        <w:rPr>
          <w:rFonts w:ascii="Microsoft YaHei" w:eastAsia="Microsoft YaHei" w:hAnsi="Microsoft YaHei" w:cs="Microsoft YaHei"/>
          <w:sz w:val="40"/>
        </w:rPr>
        <w:t>票价</w:t>
      </w:r>
      <w:r w:rsidRPr="004C5876">
        <w:rPr>
          <w:rFonts w:ascii="Microsoft YaHei" w:eastAsia="Microsoft YaHei" w:hAnsi="Microsoft YaHei" w:cs="Microsoft YaHei"/>
          <w:sz w:val="40"/>
        </w:rPr>
        <w:t>+</w:t>
      </w:r>
      <w:r w:rsidRPr="004C5876">
        <w:rPr>
          <w:rFonts w:ascii="Microsoft YaHei" w:eastAsia="Microsoft YaHei" w:hAnsi="Microsoft YaHei" w:cs="Microsoft YaHei"/>
          <w:sz w:val="40"/>
        </w:rPr>
        <w:t>燃油附加费</w:t>
      </w:r>
      <w:r w:rsidRPr="004C5876">
        <w:rPr>
          <w:rFonts w:ascii="Microsoft YaHei" w:eastAsia="Microsoft YaHei" w:hAnsi="Microsoft YaHei" w:cs="Microsoft YaHei"/>
          <w:sz w:val="40"/>
        </w:rPr>
        <w:t>)÷(1+9%)×9%</w:t>
      </w:r>
    </w:p>
    <w:p w:rsidR="00FF21E8" w:rsidRPr="004C5876" w:rsidRDefault="006851A2" w:rsidP="004C5876">
      <w:pPr>
        <w:pStyle w:val="a4"/>
        <w:numPr>
          <w:ilvl w:val="5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lastRenderedPageBreak/>
        <w:t>不包括民航发展基金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取得</w:t>
      </w:r>
      <w:r w:rsidRPr="004C5876">
        <w:rPr>
          <w:rFonts w:ascii="Microsoft YaHei" w:eastAsia="Microsoft YaHei" w:hAnsi="Microsoft YaHei" w:cs="Microsoft YaHei"/>
          <w:sz w:val="40"/>
        </w:rPr>
        <w:t>注明旅客身份信息的铁路车票的</w:t>
      </w:r>
    </w:p>
    <w:p w:rsidR="00FF21E8" w:rsidRPr="004C5876" w:rsidRDefault="006851A2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铁路旅客运输进项税额</w:t>
      </w:r>
      <w:r w:rsidRPr="004C5876">
        <w:rPr>
          <w:rFonts w:ascii="Microsoft YaHei" w:eastAsia="Microsoft YaHei" w:hAnsi="Microsoft YaHei" w:cs="Microsoft YaHei"/>
          <w:sz w:val="40"/>
        </w:rPr>
        <w:t>=</w:t>
      </w:r>
      <w:r w:rsidRPr="004C5876">
        <w:rPr>
          <w:rFonts w:ascii="Microsoft YaHei" w:eastAsia="Microsoft YaHei" w:hAnsi="Microsoft YaHei" w:cs="Microsoft YaHei"/>
          <w:sz w:val="40"/>
        </w:rPr>
        <w:t>票面金额</w:t>
      </w:r>
      <w:r w:rsidRPr="004C5876">
        <w:rPr>
          <w:rFonts w:ascii="Microsoft YaHei" w:eastAsia="Microsoft YaHei" w:hAnsi="Microsoft YaHei" w:cs="Microsoft YaHei"/>
          <w:sz w:val="40"/>
        </w:rPr>
        <w:t>÷(1+9%)×9%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取得注明旅客身份信息的公路、水路等其他客票的</w:t>
      </w:r>
    </w:p>
    <w:p w:rsidR="00FF21E8" w:rsidRPr="004C5876" w:rsidRDefault="006851A2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公路、水路等其他旅客运输进项税额</w:t>
      </w:r>
      <w:r w:rsidRPr="004C5876">
        <w:rPr>
          <w:rFonts w:ascii="Microsoft YaHei" w:eastAsia="Microsoft YaHei" w:hAnsi="Microsoft YaHei" w:cs="Microsoft YaHei"/>
          <w:sz w:val="40"/>
        </w:rPr>
        <w:t>=</w:t>
      </w:r>
      <w:r w:rsidRPr="004C5876">
        <w:rPr>
          <w:rFonts w:ascii="Microsoft YaHei" w:eastAsia="Microsoft YaHei" w:hAnsi="Microsoft YaHei" w:cs="Microsoft YaHei"/>
          <w:sz w:val="40"/>
        </w:rPr>
        <w:t>票面金额</w:t>
      </w:r>
      <w:r w:rsidRPr="004C5876">
        <w:rPr>
          <w:rFonts w:ascii="Microsoft YaHei" w:eastAsia="Microsoft YaHei" w:hAnsi="Microsoft YaHei" w:cs="Microsoft YaHei"/>
          <w:sz w:val="40"/>
        </w:rPr>
        <w:t>÷(1+3%)×3%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桥、闸通行费进项税额</w:t>
      </w:r>
      <w:r w:rsidRPr="004C5876">
        <w:rPr>
          <w:rFonts w:ascii="Microsoft YaHei" w:eastAsia="Microsoft YaHei" w:hAnsi="Microsoft YaHei" w:cs="Microsoft YaHei"/>
          <w:sz w:val="40"/>
        </w:rPr>
        <w:t>=</w:t>
      </w:r>
      <w:r w:rsidRPr="004C5876">
        <w:rPr>
          <w:rFonts w:ascii="Microsoft YaHei" w:eastAsia="Microsoft YaHei" w:hAnsi="Microsoft YaHei" w:cs="Microsoft YaHei"/>
          <w:sz w:val="40"/>
        </w:rPr>
        <w:t>通行费发票上注明的金额</w:t>
      </w:r>
      <w:r w:rsidRPr="004C5876">
        <w:rPr>
          <w:rFonts w:ascii="Microsoft YaHei" w:eastAsia="Microsoft YaHei" w:hAnsi="Microsoft YaHei" w:cs="Microsoft YaHei"/>
          <w:sz w:val="40"/>
        </w:rPr>
        <w:t>÷(1+5%)×5%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抵扣限制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限于与本单位签订了劳动合同的员工，以及本单位作为用工单位接受</w:t>
      </w:r>
      <w:r w:rsidRPr="004C5876">
        <w:rPr>
          <w:rFonts w:ascii="Microsoft YaHei" w:eastAsia="Microsoft YaHei" w:hAnsi="Microsoft YaHei" w:cs="Microsoft YaHei"/>
          <w:sz w:val="40"/>
        </w:rPr>
        <w:t xml:space="preserve"> </w:t>
      </w:r>
      <w:r w:rsidRPr="004C5876">
        <w:rPr>
          <w:rFonts w:ascii="Microsoft YaHei" w:eastAsia="Microsoft YaHei" w:hAnsi="Microsoft YaHei" w:cs="Microsoft YaHei"/>
          <w:sz w:val="40"/>
        </w:rPr>
        <w:t>的劳务派遣员工发生的国内旅客运输服务。</w:t>
      </w:r>
    </w:p>
    <w:p w:rsidR="00FF21E8" w:rsidRPr="004C5876" w:rsidRDefault="00FF21E8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hyperlink r:id="rId9" w:history="1">
        <w:r w:rsidR="006851A2" w:rsidRPr="004C5876">
          <w:rPr>
            <w:rStyle w:val="a5"/>
            <w:sz w:val="40"/>
          </w:rPr>
          <w:t>国家税务总局公告</w:t>
        </w:r>
        <w:r w:rsidR="006851A2" w:rsidRPr="004C5876">
          <w:rPr>
            <w:rStyle w:val="a5"/>
            <w:sz w:val="40"/>
          </w:rPr>
          <w:t>2019</w:t>
        </w:r>
        <w:r w:rsidR="006851A2" w:rsidRPr="004C5876">
          <w:rPr>
            <w:rStyle w:val="a5"/>
            <w:sz w:val="40"/>
          </w:rPr>
          <w:t>年第</w:t>
        </w:r>
        <w:r w:rsidR="006851A2" w:rsidRPr="004C5876">
          <w:rPr>
            <w:rStyle w:val="a5"/>
            <w:sz w:val="40"/>
          </w:rPr>
          <w:t>31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纳税人</w:t>
      </w:r>
      <w:r w:rsidRPr="004C5876">
        <w:rPr>
          <w:rFonts w:ascii="Microsoft YaHei" w:eastAsia="Microsoft YaHei" w:hAnsi="Microsoft YaHei" w:cs="Microsoft YaHei"/>
          <w:b/>
          <w:bCs/>
          <w:sz w:val="40"/>
        </w:rPr>
        <w:t>购进国内旅客运输服务</w:t>
      </w:r>
      <w:r w:rsidRPr="004C5876">
        <w:rPr>
          <w:rFonts w:ascii="Microsoft YaHei" w:eastAsia="Microsoft YaHei" w:hAnsi="Microsoft YaHei" w:cs="Microsoft YaHei"/>
          <w:sz w:val="40"/>
        </w:rPr>
        <w:t>，以取得的增值税</w:t>
      </w:r>
      <w:r w:rsidRPr="004C5876">
        <w:rPr>
          <w:rFonts w:ascii="Microsoft YaHei" w:eastAsia="Microsoft YaHei" w:hAnsi="Microsoft YaHei" w:cs="Microsoft YaHei"/>
          <w:b/>
          <w:bCs/>
          <w:sz w:val="40"/>
        </w:rPr>
        <w:t>电子普通发票</w:t>
      </w:r>
      <w:r w:rsidRPr="004C5876">
        <w:rPr>
          <w:rFonts w:ascii="Microsoft YaHei" w:eastAsia="Microsoft YaHei" w:hAnsi="Microsoft YaHei" w:cs="Microsoft YaHei"/>
          <w:sz w:val="40"/>
        </w:rPr>
        <w:t>上注明的税额为进项税额的，增值税电子普通发票上注明的购买方</w:t>
      </w:r>
      <w:r w:rsidRPr="004C5876">
        <w:rPr>
          <w:rFonts w:ascii="Microsoft YaHei" w:eastAsia="Microsoft YaHei" w:hAnsi="Microsoft YaHei" w:cs="Microsoft YaHei"/>
          <w:sz w:val="40"/>
        </w:rPr>
        <w:t>“</w:t>
      </w:r>
      <w:r w:rsidRPr="004C5876">
        <w:rPr>
          <w:rFonts w:ascii="Microsoft YaHei" w:eastAsia="Microsoft YaHei" w:hAnsi="Microsoft YaHei" w:cs="Microsoft YaHei"/>
          <w:sz w:val="40"/>
        </w:rPr>
        <w:t>名称</w:t>
      </w:r>
      <w:r w:rsidRPr="004C5876">
        <w:rPr>
          <w:rFonts w:ascii="Microsoft YaHei" w:eastAsia="Microsoft YaHei" w:hAnsi="Microsoft YaHei" w:cs="Microsoft YaHei"/>
          <w:sz w:val="40"/>
        </w:rPr>
        <w:t>”“</w:t>
      </w:r>
      <w:r w:rsidRPr="004C5876">
        <w:rPr>
          <w:rFonts w:ascii="Microsoft YaHei" w:eastAsia="Microsoft YaHei" w:hAnsi="Microsoft YaHei" w:cs="Microsoft YaHei"/>
          <w:sz w:val="40"/>
        </w:rPr>
        <w:t>纳税人识</w:t>
      </w:r>
      <w:r w:rsidRPr="004C5876">
        <w:rPr>
          <w:rFonts w:ascii="Microsoft YaHei" w:eastAsia="Microsoft YaHei" w:hAnsi="Microsoft YaHei" w:cs="Microsoft YaHei"/>
          <w:sz w:val="40"/>
        </w:rPr>
        <w:lastRenderedPageBreak/>
        <w:t>别号</w:t>
      </w:r>
      <w:r w:rsidRPr="004C5876">
        <w:rPr>
          <w:rFonts w:ascii="Microsoft YaHei" w:eastAsia="Microsoft YaHei" w:hAnsi="Microsoft YaHei" w:cs="Microsoft YaHei"/>
          <w:sz w:val="40"/>
        </w:rPr>
        <w:t>”</w:t>
      </w:r>
      <w:r w:rsidRPr="004C5876">
        <w:rPr>
          <w:rFonts w:ascii="Microsoft YaHei" w:eastAsia="Microsoft YaHei" w:hAnsi="Microsoft YaHei" w:cs="Microsoft YaHei"/>
          <w:sz w:val="40"/>
        </w:rPr>
        <w:t>等信息，应当</w:t>
      </w:r>
      <w:r w:rsidRPr="004C5876">
        <w:rPr>
          <w:rFonts w:ascii="Microsoft YaHei" w:eastAsia="Microsoft YaHei" w:hAnsi="Microsoft YaHei" w:cs="Microsoft YaHei"/>
          <w:b/>
          <w:bCs/>
          <w:sz w:val="40"/>
        </w:rPr>
        <w:t>与实际抵扣税款的纳税人一致</w:t>
      </w:r>
      <w:r w:rsidRPr="004C5876">
        <w:rPr>
          <w:rFonts w:ascii="Microsoft YaHei" w:eastAsia="Microsoft YaHei" w:hAnsi="Microsoft YaHei" w:cs="Microsoft YaHei"/>
          <w:sz w:val="40"/>
        </w:rPr>
        <w:t>，</w:t>
      </w:r>
      <w:r w:rsidRPr="004C5876">
        <w:rPr>
          <w:rFonts w:ascii="Microsoft YaHei" w:eastAsia="Microsoft YaHei" w:hAnsi="Microsoft YaHei" w:cs="Microsoft YaHei"/>
          <w:b/>
          <w:bCs/>
          <w:sz w:val="40"/>
        </w:rPr>
        <w:t>否则不予抵扣</w:t>
      </w:r>
    </w:p>
    <w:p w:rsidR="00FF21E8" w:rsidRPr="004C5876" w:rsidRDefault="00FF21E8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hyperlink r:id="rId10" w:history="1">
        <w:r w:rsidR="006851A2" w:rsidRPr="004C5876">
          <w:rPr>
            <w:rStyle w:val="a5"/>
            <w:sz w:val="40"/>
          </w:rPr>
          <w:t>国家税务总局公告</w:t>
        </w:r>
        <w:r w:rsidR="006851A2" w:rsidRPr="004C5876">
          <w:rPr>
            <w:rStyle w:val="a5"/>
            <w:sz w:val="40"/>
          </w:rPr>
          <w:t>2019</w:t>
        </w:r>
        <w:r w:rsidR="006851A2" w:rsidRPr="004C5876">
          <w:rPr>
            <w:rStyle w:val="a5"/>
            <w:sz w:val="40"/>
          </w:rPr>
          <w:t>年第</w:t>
        </w:r>
        <w:r w:rsidR="006851A2" w:rsidRPr="004C5876">
          <w:rPr>
            <w:rStyle w:val="a5"/>
            <w:sz w:val="40"/>
          </w:rPr>
          <w:t>31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用于简易计税方法计税项目、免征增值税项目、集体福利或者个人消费的购进货物、加工修理修配劳务、服务、无形资产和不动产。其中涉及的固定资产、无形资产、不动产，仅指专用于上述项目的固定资产、无形资产</w:t>
      </w:r>
      <w:r w:rsidRPr="004C5876">
        <w:rPr>
          <w:rFonts w:ascii="Microsoft YaHei" w:eastAsia="Microsoft YaHei" w:hAnsi="Microsoft YaHei" w:cs="Microsoft YaHei"/>
          <w:sz w:val="40"/>
        </w:rPr>
        <w:t>(</w:t>
      </w:r>
      <w:r w:rsidRPr="004C5876">
        <w:rPr>
          <w:rFonts w:ascii="Microsoft YaHei" w:eastAsia="Microsoft YaHei" w:hAnsi="Microsoft YaHei" w:cs="Microsoft YaHei"/>
          <w:sz w:val="40"/>
        </w:rPr>
        <w:t>不包括其他权益性无形资产</w:t>
      </w:r>
      <w:r w:rsidRPr="004C5876">
        <w:rPr>
          <w:rFonts w:ascii="Microsoft YaHei" w:eastAsia="Microsoft YaHei" w:hAnsi="Microsoft YaHei" w:cs="Microsoft YaHei"/>
          <w:sz w:val="40"/>
        </w:rPr>
        <w:t>)</w:t>
      </w:r>
      <w:r w:rsidRPr="004C5876">
        <w:rPr>
          <w:rFonts w:ascii="Microsoft YaHei" w:eastAsia="Microsoft YaHei" w:hAnsi="Microsoft YaHei" w:cs="Microsoft YaHei"/>
          <w:sz w:val="40"/>
        </w:rPr>
        <w:t>、不动产。</w:t>
      </w:r>
      <w:r w:rsidRPr="004C5876">
        <w:rPr>
          <w:rFonts w:ascii="Microsoft YaHei" w:eastAsia="Microsoft YaHei" w:hAnsi="Microsoft YaHei" w:cs="Microsoft YaHei"/>
          <w:b/>
          <w:bCs/>
          <w:sz w:val="40"/>
        </w:rPr>
        <w:t>纳税人的交际应酬消费属于个人消费。</w:t>
      </w:r>
    </w:p>
    <w:p w:rsidR="00FF21E8" w:rsidRPr="004C5876" w:rsidRDefault="00FF21E8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hyperlink r:id="rId11" w:history="1">
        <w:r w:rsidR="006851A2" w:rsidRPr="004C5876">
          <w:rPr>
            <w:rStyle w:val="a5"/>
            <w:sz w:val="40"/>
          </w:rPr>
          <w:t>《财政部</w:t>
        </w:r>
        <w:r w:rsidR="006851A2" w:rsidRPr="004C5876">
          <w:rPr>
            <w:rStyle w:val="a5"/>
            <w:sz w:val="40"/>
          </w:rPr>
          <w:t xml:space="preserve"> </w:t>
        </w:r>
        <w:r w:rsidR="006851A2" w:rsidRPr="004C5876">
          <w:rPr>
            <w:rStyle w:val="a5"/>
            <w:sz w:val="40"/>
          </w:rPr>
          <w:t>国家税务总局关于全面推开营业税改征增值税试点的通知》</w:t>
        </w:r>
      </w:hyperlink>
      <w:r w:rsidR="006851A2" w:rsidRPr="004C5876">
        <w:rPr>
          <w:rFonts w:ascii="Microsoft YaHei" w:eastAsia="Microsoft YaHei" w:hAnsi="Microsoft YaHei" w:cs="Microsoft YaHei"/>
          <w:sz w:val="40"/>
        </w:rPr>
        <w:t>（财税〔</w:t>
      </w:r>
      <w:r w:rsidR="006851A2" w:rsidRPr="004C5876">
        <w:rPr>
          <w:rFonts w:ascii="Microsoft YaHei" w:eastAsia="Microsoft YaHei" w:hAnsi="Microsoft YaHei" w:cs="Microsoft YaHei"/>
          <w:sz w:val="40"/>
        </w:rPr>
        <w:t>2016</w:t>
      </w:r>
      <w:r w:rsidR="006851A2" w:rsidRPr="004C5876">
        <w:rPr>
          <w:rFonts w:ascii="Microsoft YaHei" w:eastAsia="Microsoft YaHei" w:hAnsi="Microsoft YaHei" w:cs="Microsoft YaHei"/>
          <w:sz w:val="40"/>
        </w:rPr>
        <w:t>〕</w:t>
      </w:r>
      <w:r w:rsidR="006851A2" w:rsidRPr="004C5876">
        <w:rPr>
          <w:rFonts w:ascii="Microsoft YaHei" w:eastAsia="Microsoft YaHei" w:hAnsi="Microsoft YaHei" w:cs="Microsoft YaHei"/>
          <w:sz w:val="40"/>
        </w:rPr>
        <w:t>36</w:t>
      </w:r>
      <w:r w:rsidR="006851A2" w:rsidRPr="004C5876">
        <w:rPr>
          <w:rFonts w:ascii="Microsoft YaHei" w:eastAsia="Microsoft YaHei" w:hAnsi="Microsoft YaHei" w:cs="Microsoft YaHei"/>
          <w:sz w:val="40"/>
        </w:rPr>
        <w:t>号）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提供国际旅客运输服务适用增值税零税率或免税</w:t>
      </w:r>
      <w:r w:rsidRPr="004C5876">
        <w:rPr>
          <w:rFonts w:ascii="Microsoft YaHei" w:eastAsia="Microsoft YaHei" w:hAnsi="Microsoft YaHei" w:cs="Microsoft YaHei"/>
          <w:sz w:val="40"/>
        </w:rPr>
        <w:t>政策。不得抵扣进项税额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在开具增值税普通发票时，若购买方为企业，则必须填写纳税人识别号，如购买方为非企业的单位和个人，可不填写纳税人识别号。</w:t>
      </w:r>
    </w:p>
    <w:p w:rsidR="00FF21E8" w:rsidRPr="004C5876" w:rsidRDefault="00FF21E8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hyperlink r:id="rId12" w:history="1">
        <w:r w:rsidR="006851A2" w:rsidRPr="004C5876">
          <w:rPr>
            <w:rStyle w:val="a5"/>
            <w:sz w:val="40"/>
          </w:rPr>
          <w:t>《国家税务总局关于增值税发票开具有关问题的公告》</w:t>
        </w:r>
      </w:hyperlink>
      <w:r w:rsidR="006851A2" w:rsidRPr="004C5876">
        <w:rPr>
          <w:rFonts w:ascii="Microsoft YaHei" w:eastAsia="Microsoft YaHei" w:hAnsi="Microsoft YaHei" w:cs="Microsoft YaHei"/>
          <w:sz w:val="40"/>
        </w:rPr>
        <w:t>（国家税务总局公告</w:t>
      </w:r>
      <w:r w:rsidR="006851A2" w:rsidRPr="004C5876">
        <w:rPr>
          <w:rFonts w:ascii="Microsoft YaHei" w:eastAsia="Microsoft YaHei" w:hAnsi="Microsoft YaHei" w:cs="Microsoft YaHei"/>
          <w:sz w:val="40"/>
        </w:rPr>
        <w:t>2017</w:t>
      </w:r>
      <w:r w:rsidR="006851A2" w:rsidRPr="004C5876">
        <w:rPr>
          <w:rFonts w:ascii="Microsoft YaHei" w:eastAsia="Microsoft YaHei" w:hAnsi="Microsoft YaHei" w:cs="Microsoft YaHei"/>
          <w:sz w:val="40"/>
        </w:rPr>
        <w:t>年第</w:t>
      </w:r>
      <w:r w:rsidR="006851A2" w:rsidRPr="004C5876">
        <w:rPr>
          <w:rFonts w:ascii="Microsoft YaHei" w:eastAsia="Microsoft YaHei" w:hAnsi="Microsoft YaHei" w:cs="Microsoft YaHei"/>
          <w:sz w:val="40"/>
        </w:rPr>
        <w:t>16</w:t>
      </w:r>
      <w:r w:rsidR="006851A2" w:rsidRPr="004C5876">
        <w:rPr>
          <w:rFonts w:ascii="Microsoft YaHei" w:eastAsia="Microsoft YaHei" w:hAnsi="Microsoft YaHei" w:cs="Microsoft YaHei"/>
          <w:sz w:val="40"/>
        </w:rPr>
        <w:t>号）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车辆费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自有车辆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出差途中产生费用，可以凭增值税专用发票注明的税额抵扣，如果取得的是普票则不允许抵扣。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私车公用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企业使用员工个人的车辆，应在签订租赁合同并取得车辆租</w:t>
      </w:r>
      <w:r w:rsidRPr="004C5876">
        <w:rPr>
          <w:rFonts w:ascii="Microsoft YaHei" w:eastAsia="Microsoft YaHei" w:hAnsi="Microsoft YaHei" w:cs="Microsoft YaHei"/>
          <w:sz w:val="40"/>
        </w:rPr>
        <w:t>赁发票的情况下，其发生的与生产经营相关的油费、修理费、过路费等支出，可凭合法有效凭证在企业所得税前扣除。</w:t>
      </w:r>
    </w:p>
    <w:p w:rsidR="00FF21E8" w:rsidRPr="004C5876" w:rsidRDefault="006851A2" w:rsidP="004C5876">
      <w:pPr>
        <w:pStyle w:val="a4"/>
        <w:numPr>
          <w:ilvl w:val="4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12366</w:t>
      </w:r>
      <w:r w:rsidRPr="004C5876">
        <w:rPr>
          <w:rFonts w:ascii="Microsoft YaHei" w:eastAsia="Microsoft YaHei" w:hAnsi="Microsoft YaHei" w:cs="Microsoft YaHei"/>
          <w:sz w:val="40"/>
        </w:rPr>
        <w:t>平台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租车费用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按照规定取得专票的，可以抵扣。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住宿费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抵扣要求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lastRenderedPageBreak/>
        <w:t>出差中的住宿费，如果能取得公司抬头的增值税专用发票，是允许认证抵扣的。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不得抵扣的情形</w:t>
      </w:r>
    </w:p>
    <w:p w:rsidR="00FF21E8" w:rsidRPr="004C5876" w:rsidRDefault="00FF21E8" w:rsidP="004C5876">
      <w:pPr>
        <w:spacing w:line="360" w:lineRule="auto"/>
        <w:ind w:left="700"/>
        <w:rPr>
          <w:sz w:val="40"/>
        </w:rPr>
      </w:pPr>
      <w:hyperlink r:id="rId13" w:history="1">
        <w:r w:rsidR="006851A2" w:rsidRPr="004C5876">
          <w:rPr>
            <w:rStyle w:val="a5"/>
            <w:sz w:val="40"/>
          </w:rPr>
          <w:t>财税〔</w:t>
        </w:r>
        <w:r w:rsidR="006851A2" w:rsidRPr="004C5876">
          <w:rPr>
            <w:rStyle w:val="a5"/>
            <w:sz w:val="40"/>
          </w:rPr>
          <w:t>2016</w:t>
        </w:r>
        <w:r w:rsidR="006851A2" w:rsidRPr="004C5876">
          <w:rPr>
            <w:rStyle w:val="a5"/>
            <w:sz w:val="40"/>
          </w:rPr>
          <w:t>〕</w:t>
        </w:r>
        <w:r w:rsidR="006851A2" w:rsidRPr="004C5876">
          <w:rPr>
            <w:rStyle w:val="a5"/>
            <w:sz w:val="40"/>
          </w:rPr>
          <w:t>36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属于集体福利的，如报销的员工旅游、探亲等情况下的住宿费。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属于个人消费的，如公司员工或股东个人。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非本公司员工发生的，如公司外聘专家发生的住宿费不能抵扣进项税。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企业免税项目或简易计税项目编制人员出差发生的住宿费。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餐饮费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不得抵扣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根据</w:t>
      </w:r>
      <w:hyperlink r:id="rId14" w:history="1">
        <w:r w:rsidRPr="004C5876">
          <w:rPr>
            <w:rStyle w:val="a5"/>
            <w:sz w:val="40"/>
          </w:rPr>
          <w:t>财税〔</w:t>
        </w:r>
        <w:r w:rsidRPr="004C5876">
          <w:rPr>
            <w:rStyle w:val="a5"/>
            <w:sz w:val="40"/>
          </w:rPr>
          <w:t>2016</w:t>
        </w:r>
        <w:r w:rsidRPr="004C5876">
          <w:rPr>
            <w:rStyle w:val="a5"/>
            <w:sz w:val="40"/>
          </w:rPr>
          <w:t>〕</w:t>
        </w:r>
        <w:r w:rsidRPr="004C5876">
          <w:rPr>
            <w:rStyle w:val="a5"/>
            <w:sz w:val="40"/>
          </w:rPr>
          <w:t>36</w:t>
        </w:r>
        <w:r w:rsidRPr="004C5876">
          <w:rPr>
            <w:rStyle w:val="a5"/>
            <w:sz w:val="40"/>
          </w:rPr>
          <w:t>号</w:t>
        </w:r>
      </w:hyperlink>
      <w:r w:rsidRPr="004C5876">
        <w:rPr>
          <w:rFonts w:ascii="Microsoft YaHei" w:eastAsia="Microsoft YaHei" w:hAnsi="Microsoft YaHei" w:cs="Microsoft YaHei"/>
          <w:sz w:val="40"/>
        </w:rPr>
        <w:t>文规定，购进的贷款服务、餐饮服务、居民日常服务和娱乐服务，其进项税额不得从销项税额中抵扣。</w:t>
      </w:r>
    </w:p>
    <w:p w:rsidR="00FF21E8" w:rsidRPr="004C5876" w:rsidRDefault="006851A2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lastRenderedPageBreak/>
        <w:t>所以，出差途中产生的餐费，即使取得增值税专用发票，也不允许抵扣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注意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会计记账时，不能只附一张发票，还需要附证明差旅费真实性的相关证明材料</w:t>
      </w:r>
      <w:r w:rsidRPr="004C5876">
        <w:rPr>
          <w:rFonts w:ascii="Microsoft YaHei" w:eastAsia="Microsoft YaHei" w:hAnsi="Microsoft YaHei" w:cs="Microsoft YaHei"/>
          <w:sz w:val="40"/>
        </w:rPr>
        <w:t>(</w:t>
      </w:r>
      <w:r w:rsidRPr="004C5876">
        <w:rPr>
          <w:rFonts w:ascii="Microsoft YaHei" w:eastAsia="Microsoft YaHei" w:hAnsi="Microsoft YaHei" w:cs="Microsoft YaHei"/>
          <w:sz w:val="40"/>
        </w:rPr>
        <w:t>包括出差人员姓名、时间、地点、出差目的、支付凭证等</w:t>
      </w:r>
      <w:r w:rsidRPr="004C5876">
        <w:rPr>
          <w:rFonts w:ascii="Microsoft YaHei" w:eastAsia="Microsoft YaHei" w:hAnsi="Microsoft YaHei" w:cs="Microsoft YaHei"/>
          <w:sz w:val="40"/>
        </w:rPr>
        <w:t>)</w:t>
      </w:r>
      <w:r w:rsidRPr="004C5876">
        <w:rPr>
          <w:rFonts w:ascii="Microsoft YaHei" w:eastAsia="Microsoft YaHei" w:hAnsi="Microsoft YaHei" w:cs="Microsoft YaHei"/>
          <w:sz w:val="40"/>
        </w:rPr>
        <w:t>。</w:t>
      </w:r>
    </w:p>
    <w:p w:rsidR="00FF21E8" w:rsidRPr="004C5876" w:rsidRDefault="006851A2" w:rsidP="004C5876">
      <w:pPr>
        <w:pStyle w:val="a4"/>
        <w:numPr>
          <w:ilvl w:val="0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个人所得税涉税处理</w:t>
      </w:r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差旅费津贴不属于工资、薪金性质的补贴、津贴或者不属于纳税人本人</w:t>
      </w:r>
      <w:r w:rsidRPr="004C5876">
        <w:rPr>
          <w:rFonts w:ascii="Microsoft YaHei" w:eastAsia="Microsoft YaHei" w:hAnsi="Microsoft YaHei" w:cs="Microsoft YaHei"/>
          <w:sz w:val="40"/>
        </w:rPr>
        <w:t>“</w:t>
      </w:r>
      <w:r w:rsidRPr="004C5876">
        <w:rPr>
          <w:rFonts w:ascii="Microsoft YaHei" w:eastAsia="Microsoft YaHei" w:hAnsi="Microsoft YaHei" w:cs="Microsoft YaHei"/>
          <w:sz w:val="40"/>
        </w:rPr>
        <w:t>工资、薪金所得</w:t>
      </w:r>
      <w:r w:rsidRPr="004C5876">
        <w:rPr>
          <w:rFonts w:ascii="Microsoft YaHei" w:eastAsia="Microsoft YaHei" w:hAnsi="Microsoft YaHei" w:cs="Microsoft YaHei"/>
          <w:sz w:val="40"/>
        </w:rPr>
        <w:t>”</w:t>
      </w:r>
      <w:r w:rsidRPr="004C5876">
        <w:rPr>
          <w:rFonts w:ascii="Microsoft YaHei" w:eastAsia="Microsoft YaHei" w:hAnsi="Microsoft YaHei" w:cs="Microsoft YaHei"/>
          <w:sz w:val="40"/>
        </w:rPr>
        <w:t>项目的收入，不征税。</w:t>
      </w:r>
    </w:p>
    <w:p w:rsidR="00FF21E8" w:rsidRPr="004C5876" w:rsidRDefault="00FF21E8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hyperlink r:id="rId15" w:history="1">
        <w:r w:rsidR="006851A2" w:rsidRPr="004C5876">
          <w:rPr>
            <w:rStyle w:val="a5"/>
            <w:sz w:val="40"/>
          </w:rPr>
          <w:t>国税发〔</w:t>
        </w:r>
        <w:r w:rsidR="006851A2" w:rsidRPr="004C5876">
          <w:rPr>
            <w:rStyle w:val="a5"/>
            <w:sz w:val="40"/>
          </w:rPr>
          <w:t>1994</w:t>
        </w:r>
        <w:r w:rsidR="006851A2" w:rsidRPr="004C5876">
          <w:rPr>
            <w:rStyle w:val="a5"/>
            <w:sz w:val="40"/>
          </w:rPr>
          <w:t>〕</w:t>
        </w:r>
        <w:r w:rsidR="006851A2" w:rsidRPr="004C5876">
          <w:rPr>
            <w:rStyle w:val="a5"/>
            <w:sz w:val="40"/>
          </w:rPr>
          <w:t>89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出差的交通补贴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个人因公务用车和通讯制度改革而取得的公务用车、通讯补贴收入，扣除一定标准的公务费用后，按照</w:t>
      </w:r>
      <w:r w:rsidRPr="004C5876">
        <w:rPr>
          <w:rFonts w:ascii="Microsoft YaHei" w:eastAsia="Microsoft YaHei" w:hAnsi="Microsoft YaHei" w:cs="Microsoft YaHei"/>
          <w:sz w:val="40"/>
        </w:rPr>
        <w:t>“</w:t>
      </w:r>
      <w:r w:rsidRPr="004C5876">
        <w:rPr>
          <w:rFonts w:ascii="Microsoft YaHei" w:eastAsia="Microsoft YaHei" w:hAnsi="Microsoft YaHei" w:cs="Microsoft YaHei"/>
          <w:sz w:val="40"/>
        </w:rPr>
        <w:t>工资、薪金</w:t>
      </w:r>
      <w:r w:rsidRPr="004C5876">
        <w:rPr>
          <w:rFonts w:ascii="Microsoft YaHei" w:eastAsia="Microsoft YaHei" w:hAnsi="Microsoft YaHei" w:cs="Microsoft YaHei"/>
          <w:sz w:val="40"/>
        </w:rPr>
        <w:t>”</w:t>
      </w:r>
      <w:r w:rsidRPr="004C5876">
        <w:rPr>
          <w:rFonts w:ascii="Microsoft YaHei" w:eastAsia="Microsoft YaHei" w:hAnsi="Microsoft YaHei" w:cs="Microsoft YaHei"/>
          <w:sz w:val="40"/>
        </w:rPr>
        <w:t>所得项目计征个人所得税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lastRenderedPageBreak/>
        <w:t>按月发放的，并入当月</w:t>
      </w:r>
      <w:r w:rsidRPr="004C5876">
        <w:rPr>
          <w:rFonts w:ascii="Microsoft YaHei" w:eastAsia="Microsoft YaHei" w:hAnsi="Microsoft YaHei" w:cs="Microsoft YaHei"/>
          <w:sz w:val="40"/>
        </w:rPr>
        <w:t>“</w:t>
      </w:r>
      <w:r w:rsidRPr="004C5876">
        <w:rPr>
          <w:rFonts w:ascii="Microsoft YaHei" w:eastAsia="Microsoft YaHei" w:hAnsi="Microsoft YaHei" w:cs="Microsoft YaHei"/>
          <w:sz w:val="40"/>
        </w:rPr>
        <w:t>工资、薪金</w:t>
      </w:r>
      <w:r w:rsidRPr="004C5876">
        <w:rPr>
          <w:rFonts w:ascii="Microsoft YaHei" w:eastAsia="Microsoft YaHei" w:hAnsi="Microsoft YaHei" w:cs="Microsoft YaHei"/>
          <w:sz w:val="40"/>
        </w:rPr>
        <w:t>”</w:t>
      </w:r>
      <w:r w:rsidRPr="004C5876">
        <w:rPr>
          <w:rFonts w:ascii="Microsoft YaHei" w:eastAsia="Microsoft YaHei" w:hAnsi="Microsoft YaHei" w:cs="Microsoft YaHei"/>
          <w:sz w:val="40"/>
        </w:rPr>
        <w:t>所得计征个人所得税；不按月发放的，分解到所属月份并与该月份</w:t>
      </w:r>
      <w:r w:rsidRPr="004C5876">
        <w:rPr>
          <w:rFonts w:ascii="Microsoft YaHei" w:eastAsia="Microsoft YaHei" w:hAnsi="Microsoft YaHei" w:cs="Microsoft YaHei"/>
          <w:sz w:val="40"/>
        </w:rPr>
        <w:t>“</w:t>
      </w:r>
      <w:r w:rsidRPr="004C5876">
        <w:rPr>
          <w:rFonts w:ascii="Microsoft YaHei" w:eastAsia="Microsoft YaHei" w:hAnsi="Microsoft YaHei" w:cs="Microsoft YaHei"/>
          <w:sz w:val="40"/>
        </w:rPr>
        <w:t>工资、薪金</w:t>
      </w:r>
      <w:r w:rsidRPr="004C5876">
        <w:rPr>
          <w:rFonts w:ascii="Microsoft YaHei" w:eastAsia="Microsoft YaHei" w:hAnsi="Microsoft YaHei" w:cs="Microsoft YaHei"/>
          <w:sz w:val="40"/>
        </w:rPr>
        <w:t>”</w:t>
      </w:r>
      <w:r w:rsidRPr="004C5876">
        <w:rPr>
          <w:rFonts w:ascii="Microsoft YaHei" w:eastAsia="Microsoft YaHei" w:hAnsi="Microsoft YaHei" w:cs="Microsoft YaHei"/>
          <w:sz w:val="40"/>
        </w:rPr>
        <w:t>所得合并后计征个人所得税</w:t>
      </w:r>
    </w:p>
    <w:p w:rsidR="00FF21E8" w:rsidRPr="004C5876" w:rsidRDefault="00FF21E8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hyperlink r:id="rId16" w:history="1">
        <w:r w:rsidR="006851A2" w:rsidRPr="004C5876">
          <w:rPr>
            <w:rStyle w:val="a5"/>
            <w:sz w:val="40"/>
          </w:rPr>
          <w:t>国税发〔</w:t>
        </w:r>
        <w:r w:rsidR="006851A2" w:rsidRPr="004C5876">
          <w:rPr>
            <w:rStyle w:val="a5"/>
            <w:sz w:val="40"/>
          </w:rPr>
          <w:t>1999</w:t>
        </w:r>
        <w:r w:rsidR="006851A2" w:rsidRPr="004C5876">
          <w:rPr>
            <w:rStyle w:val="a5"/>
            <w:sz w:val="40"/>
          </w:rPr>
          <w:t>〕</w:t>
        </w:r>
        <w:r w:rsidR="006851A2" w:rsidRPr="004C5876">
          <w:rPr>
            <w:rStyle w:val="a5"/>
            <w:sz w:val="40"/>
          </w:rPr>
          <w:t>58</w:t>
        </w:r>
        <w:r w:rsidR="006851A2" w:rsidRPr="004C5876">
          <w:rPr>
            <w:rStyle w:val="a5"/>
            <w:sz w:val="40"/>
          </w:rPr>
          <w:t>号</w:t>
        </w:r>
      </w:hyperlink>
    </w:p>
    <w:p w:rsidR="00FF21E8" w:rsidRPr="004C5876" w:rsidRDefault="006851A2" w:rsidP="004C5876">
      <w:pPr>
        <w:pStyle w:val="a4"/>
        <w:numPr>
          <w:ilvl w:val="1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误餐补助</w:t>
      </w:r>
    </w:p>
    <w:p w:rsidR="00FF21E8" w:rsidRPr="004C5876" w:rsidRDefault="006851A2" w:rsidP="004C5876">
      <w:pPr>
        <w:pStyle w:val="a4"/>
        <w:numPr>
          <w:ilvl w:val="2"/>
          <w:numId w:val="2"/>
        </w:numPr>
        <w:spacing w:line="360" w:lineRule="auto"/>
        <w:rPr>
          <w:sz w:val="40"/>
        </w:rPr>
      </w:pPr>
      <w:r w:rsidRPr="004C5876">
        <w:rPr>
          <w:rFonts w:ascii="Microsoft YaHei" w:eastAsia="Microsoft YaHei" w:hAnsi="Microsoft YaHei" w:cs="Microsoft YaHei"/>
          <w:sz w:val="40"/>
        </w:rPr>
        <w:t>一些单位以误餐补助名义发给职工的补贴、津贴，应该</w:t>
      </w:r>
      <w:r w:rsidRPr="004C5876">
        <w:rPr>
          <w:rFonts w:ascii="Microsoft YaHei" w:eastAsia="Microsoft YaHei" w:hAnsi="Microsoft YaHei" w:cs="Microsoft YaHei"/>
          <w:sz w:val="40"/>
        </w:rPr>
        <w:t>当并入工资、薪金所得计征个人所得税。</w:t>
      </w:r>
    </w:p>
    <w:p w:rsidR="00FF21E8" w:rsidRPr="004C5876" w:rsidRDefault="00FF21E8" w:rsidP="004C5876">
      <w:pPr>
        <w:pStyle w:val="a4"/>
        <w:numPr>
          <w:ilvl w:val="3"/>
          <w:numId w:val="2"/>
        </w:numPr>
        <w:spacing w:line="360" w:lineRule="auto"/>
        <w:rPr>
          <w:sz w:val="40"/>
        </w:rPr>
      </w:pPr>
      <w:hyperlink r:id="rId17" w:history="1">
        <w:r w:rsidR="006851A2" w:rsidRPr="004C5876">
          <w:rPr>
            <w:rStyle w:val="a5"/>
            <w:sz w:val="40"/>
          </w:rPr>
          <w:t>《关于误餐补助范</w:t>
        </w:r>
        <w:r w:rsidR="006851A2" w:rsidRPr="004C5876">
          <w:rPr>
            <w:rStyle w:val="a5"/>
            <w:sz w:val="40"/>
          </w:rPr>
          <w:t>围</w:t>
        </w:r>
        <w:r w:rsidR="006851A2" w:rsidRPr="004C5876">
          <w:rPr>
            <w:rStyle w:val="a5"/>
            <w:sz w:val="40"/>
          </w:rPr>
          <w:t>确定问题的通知》</w:t>
        </w:r>
      </w:hyperlink>
      <w:r w:rsidR="006851A2" w:rsidRPr="004C5876">
        <w:rPr>
          <w:rFonts w:ascii="Microsoft YaHei" w:eastAsia="Microsoft YaHei" w:hAnsi="Microsoft YaHei" w:cs="Microsoft YaHei"/>
          <w:sz w:val="40"/>
        </w:rPr>
        <w:t xml:space="preserve"> </w:t>
      </w:r>
      <w:r w:rsidR="006851A2" w:rsidRPr="004C5876">
        <w:rPr>
          <w:rFonts w:ascii="Microsoft YaHei" w:eastAsia="Microsoft YaHei" w:hAnsi="Microsoft YaHei" w:cs="Microsoft YaHei"/>
          <w:sz w:val="40"/>
        </w:rPr>
        <w:t>（财税字〔</w:t>
      </w:r>
      <w:r w:rsidR="006851A2" w:rsidRPr="004C5876">
        <w:rPr>
          <w:rFonts w:ascii="Microsoft YaHei" w:eastAsia="Microsoft YaHei" w:hAnsi="Microsoft YaHei" w:cs="Microsoft YaHei"/>
          <w:sz w:val="40"/>
        </w:rPr>
        <w:t>1995</w:t>
      </w:r>
      <w:r w:rsidR="006851A2" w:rsidRPr="004C5876">
        <w:rPr>
          <w:rFonts w:ascii="Microsoft YaHei" w:eastAsia="Microsoft YaHei" w:hAnsi="Microsoft YaHei" w:cs="Microsoft YaHei"/>
          <w:sz w:val="40"/>
        </w:rPr>
        <w:t>〕</w:t>
      </w:r>
      <w:r w:rsidR="006851A2" w:rsidRPr="004C5876">
        <w:rPr>
          <w:rFonts w:ascii="Microsoft YaHei" w:eastAsia="Microsoft YaHei" w:hAnsi="Microsoft YaHei" w:cs="Microsoft YaHei"/>
          <w:sz w:val="40"/>
        </w:rPr>
        <w:t>82</w:t>
      </w:r>
      <w:r w:rsidR="006851A2" w:rsidRPr="004C5876">
        <w:rPr>
          <w:rFonts w:ascii="Microsoft YaHei" w:eastAsia="Microsoft YaHei" w:hAnsi="Microsoft YaHei" w:cs="Microsoft YaHei"/>
          <w:sz w:val="40"/>
        </w:rPr>
        <w:t>号）</w:t>
      </w:r>
    </w:p>
    <w:sectPr w:rsidR="00FF21E8" w:rsidRPr="004C5876" w:rsidSect="004C5876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A2" w:rsidRDefault="006851A2" w:rsidP="00FF21E8">
      <w:r>
        <w:separator/>
      </w:r>
    </w:p>
  </w:endnote>
  <w:endnote w:type="continuationSeparator" w:id="1">
    <w:p w:rsidR="006851A2" w:rsidRDefault="006851A2" w:rsidP="00FF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A2" w:rsidRDefault="006851A2" w:rsidP="00FF21E8">
      <w:r>
        <w:separator/>
      </w:r>
    </w:p>
  </w:footnote>
  <w:footnote w:type="continuationSeparator" w:id="1">
    <w:p w:rsidR="006851A2" w:rsidRDefault="006851A2" w:rsidP="00FF2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DC0"/>
    <w:multiLevelType w:val="hybridMultilevel"/>
    <w:tmpl w:val="E0387BD8"/>
    <w:lvl w:ilvl="0" w:tplc="95044684">
      <w:start w:val="1"/>
      <w:numFmt w:val="bullet"/>
      <w:lvlText w:val="●"/>
      <w:lvlJc w:val="left"/>
      <w:pPr>
        <w:ind w:left="720" w:hanging="360"/>
      </w:pPr>
    </w:lvl>
    <w:lvl w:ilvl="1" w:tplc="A00EDDC6">
      <w:start w:val="1"/>
      <w:numFmt w:val="bullet"/>
      <w:lvlText w:val="○"/>
      <w:lvlJc w:val="left"/>
      <w:pPr>
        <w:ind w:left="1440" w:hanging="360"/>
      </w:pPr>
    </w:lvl>
    <w:lvl w:ilvl="2" w:tplc="83469A3E">
      <w:start w:val="1"/>
      <w:numFmt w:val="bullet"/>
      <w:lvlText w:val="■"/>
      <w:lvlJc w:val="left"/>
      <w:pPr>
        <w:ind w:left="2160" w:hanging="360"/>
      </w:pPr>
    </w:lvl>
    <w:lvl w:ilvl="3" w:tplc="A88A64A8">
      <w:start w:val="1"/>
      <w:numFmt w:val="bullet"/>
      <w:lvlText w:val="●"/>
      <w:lvlJc w:val="left"/>
      <w:pPr>
        <w:ind w:left="2880" w:hanging="360"/>
      </w:pPr>
    </w:lvl>
    <w:lvl w:ilvl="4" w:tplc="FEDE4790">
      <w:start w:val="1"/>
      <w:numFmt w:val="bullet"/>
      <w:lvlText w:val="○"/>
      <w:lvlJc w:val="left"/>
      <w:pPr>
        <w:ind w:left="3600" w:hanging="360"/>
      </w:pPr>
    </w:lvl>
    <w:lvl w:ilvl="5" w:tplc="B1800E22">
      <w:start w:val="1"/>
      <w:numFmt w:val="bullet"/>
      <w:lvlText w:val="■"/>
      <w:lvlJc w:val="left"/>
      <w:pPr>
        <w:ind w:left="4320" w:hanging="360"/>
      </w:pPr>
    </w:lvl>
    <w:lvl w:ilvl="6" w:tplc="6A7213AC">
      <w:start w:val="1"/>
      <w:numFmt w:val="bullet"/>
      <w:lvlText w:val="●"/>
      <w:lvlJc w:val="left"/>
      <w:pPr>
        <w:ind w:left="5040" w:hanging="360"/>
      </w:pPr>
    </w:lvl>
    <w:lvl w:ilvl="7" w:tplc="05D294DA">
      <w:start w:val="1"/>
      <w:numFmt w:val="bullet"/>
      <w:lvlText w:val="●"/>
      <w:lvlJc w:val="left"/>
      <w:pPr>
        <w:ind w:left="5760" w:hanging="360"/>
      </w:pPr>
    </w:lvl>
    <w:lvl w:ilvl="8" w:tplc="E416CA68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3DC039B3"/>
    <w:multiLevelType w:val="hybridMultilevel"/>
    <w:tmpl w:val="A1C6D3CE"/>
    <w:lvl w:ilvl="0" w:tplc="2E280E6A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plc="68A28800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plc="E22C3218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plc="3A16DA68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plc="4FAE1E10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plc="A3207752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plc="FDE85124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plc="62C6BAB4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plc="FFBA1128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1E8"/>
    <w:rsid w:val="004C5876"/>
    <w:rsid w:val="006851A2"/>
    <w:rsid w:val="008E2050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FF21E8"/>
    <w:rPr>
      <w:sz w:val="56"/>
      <w:szCs w:val="56"/>
    </w:rPr>
  </w:style>
  <w:style w:type="paragraph" w:customStyle="1" w:styleId="Heading1">
    <w:name w:val="Heading 1"/>
    <w:qFormat/>
    <w:rsid w:val="00FF21E8"/>
    <w:rPr>
      <w:color w:val="2E74B5"/>
      <w:sz w:val="32"/>
      <w:szCs w:val="32"/>
    </w:rPr>
  </w:style>
  <w:style w:type="paragraph" w:customStyle="1" w:styleId="Heading2">
    <w:name w:val="Heading 2"/>
    <w:qFormat/>
    <w:rsid w:val="00FF21E8"/>
    <w:rPr>
      <w:color w:val="2E74B5"/>
      <w:sz w:val="26"/>
      <w:szCs w:val="26"/>
    </w:rPr>
  </w:style>
  <w:style w:type="paragraph" w:customStyle="1" w:styleId="Heading3">
    <w:name w:val="Heading 3"/>
    <w:qFormat/>
    <w:rsid w:val="00FF21E8"/>
    <w:rPr>
      <w:color w:val="1F4D78"/>
      <w:sz w:val="24"/>
      <w:szCs w:val="24"/>
    </w:rPr>
  </w:style>
  <w:style w:type="paragraph" w:customStyle="1" w:styleId="Heading4">
    <w:name w:val="Heading 4"/>
    <w:qFormat/>
    <w:rsid w:val="00FF21E8"/>
    <w:rPr>
      <w:i/>
      <w:iCs/>
      <w:color w:val="2E74B5"/>
    </w:rPr>
  </w:style>
  <w:style w:type="paragraph" w:customStyle="1" w:styleId="Heading5">
    <w:name w:val="Heading 5"/>
    <w:qFormat/>
    <w:rsid w:val="00FF21E8"/>
    <w:rPr>
      <w:color w:val="2E74B5"/>
    </w:rPr>
  </w:style>
  <w:style w:type="paragraph" w:customStyle="1" w:styleId="Heading6">
    <w:name w:val="Heading 6"/>
    <w:qFormat/>
    <w:rsid w:val="00FF21E8"/>
    <w:rPr>
      <w:color w:val="1F4D78"/>
    </w:rPr>
  </w:style>
  <w:style w:type="paragraph" w:styleId="a4">
    <w:name w:val="List Paragraph"/>
    <w:qFormat/>
    <w:rsid w:val="00FF21E8"/>
  </w:style>
  <w:style w:type="character" w:styleId="a5">
    <w:name w:val="Hyperlink"/>
    <w:uiPriority w:val="99"/>
    <w:unhideWhenUsed/>
    <w:rsid w:val="00FF21E8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FF21E8"/>
    <w:rPr>
      <w:vertAlign w:val="superscript"/>
    </w:rPr>
  </w:style>
  <w:style w:type="paragraph" w:styleId="a7">
    <w:name w:val="footnote text"/>
    <w:link w:val="Char"/>
    <w:uiPriority w:val="99"/>
    <w:semiHidden/>
    <w:unhideWhenUsed/>
    <w:rsid w:val="00FF21E8"/>
  </w:style>
  <w:style w:type="character" w:customStyle="1" w:styleId="Char">
    <w:name w:val="脚注文本 Char"/>
    <w:link w:val="a7"/>
    <w:uiPriority w:val="99"/>
    <w:semiHidden/>
    <w:unhideWhenUsed/>
    <w:rsid w:val="00FF21E8"/>
    <w:rPr>
      <w:sz w:val="2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8E2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E2050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8E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E205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E2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i5.cn/article/50/126363.html" TargetMode="External"/><Relationship Id="rId13" Type="http://schemas.openxmlformats.org/officeDocument/2006/relationships/hyperlink" Target="https://www.shui5.cn/article/ce/8664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ui5.cn/article/98/74561.html" TargetMode="External"/><Relationship Id="rId12" Type="http://schemas.openxmlformats.org/officeDocument/2006/relationships/hyperlink" Target="https://www.shui5.cn/article/2f/112197.html" TargetMode="External"/><Relationship Id="rId17" Type="http://schemas.openxmlformats.org/officeDocument/2006/relationships/hyperlink" Target="https://www.shui5.cn/article/5b/118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ui5.cn/article/7c/2318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ui5.cn/article/ce/8664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ui5.cn/article/69/5010.html" TargetMode="External"/><Relationship Id="rId10" Type="http://schemas.openxmlformats.org/officeDocument/2006/relationships/hyperlink" Target="https://www.shui5.cn/article/ab/12894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hui5.cn/article/ab/128941.html" TargetMode="External"/><Relationship Id="rId14" Type="http://schemas.openxmlformats.org/officeDocument/2006/relationships/hyperlink" Target="https://www.shui5.cn/article/ce/8664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2.17 差旅费的财税处理</dc:title>
  <cp:lastModifiedBy>PC</cp:lastModifiedBy>
  <cp:revision>3</cp:revision>
  <dcterms:created xsi:type="dcterms:W3CDTF">2022-02-25T16:19:00Z</dcterms:created>
  <dcterms:modified xsi:type="dcterms:W3CDTF">2024-07-31T14:54:00Z</dcterms:modified>
</cp:coreProperties>
</file>